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1006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096A4E" w14:paraId="54E1571A" w14:textId="77777777" w:rsidTr="0023545C">
        <w:trPr>
          <w:trHeight w:val="274"/>
        </w:trPr>
        <w:tc>
          <w:tcPr>
            <w:tcW w:w="1838" w:type="dxa"/>
            <w:vAlign w:val="center"/>
          </w:tcPr>
          <w:p w14:paraId="172F5A62" w14:textId="1CDD7A9C" w:rsidR="00096A4E" w:rsidRPr="00985D39" w:rsidRDefault="00353491" w:rsidP="0023545C">
            <w:r w:rsidRPr="00985D39">
              <w:t>Öğrenme Alanı</w:t>
            </w:r>
          </w:p>
        </w:tc>
        <w:tc>
          <w:tcPr>
            <w:tcW w:w="8000" w:type="dxa"/>
            <w:vAlign w:val="center"/>
          </w:tcPr>
          <w:p w14:paraId="0EAB18C1" w14:textId="73A96DB7" w:rsidR="00096A4E" w:rsidRPr="00985D39" w:rsidRDefault="00F353F7" w:rsidP="0023545C">
            <w:r>
              <w:t>MÜZİK DİLİ</w:t>
            </w:r>
          </w:p>
        </w:tc>
      </w:tr>
      <w:tr w:rsidR="00096A4E" w14:paraId="7B05704B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63D75E5E" w14:textId="4B86F7DE" w:rsidR="00096A4E" w:rsidRPr="00985D39" w:rsidRDefault="00096A4E" w:rsidP="0023545C">
            <w:r w:rsidRPr="00985D39">
              <w:t>Süre</w:t>
            </w:r>
          </w:p>
        </w:tc>
        <w:tc>
          <w:tcPr>
            <w:tcW w:w="8000" w:type="dxa"/>
            <w:vAlign w:val="center"/>
          </w:tcPr>
          <w:p w14:paraId="584C1D1B" w14:textId="300D8B87" w:rsidR="00096A4E" w:rsidRPr="00985D39" w:rsidRDefault="00F353F7" w:rsidP="0023545C">
            <w:r>
              <w:t>1</w:t>
            </w:r>
            <w:r w:rsidR="00C823A4" w:rsidRPr="00985D39">
              <w:t xml:space="preserve"> Ders Saati</w:t>
            </w:r>
          </w:p>
        </w:tc>
      </w:tr>
      <w:tr w:rsidR="000D19D6" w14:paraId="63E941D6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0E335147" w14:textId="77777777" w:rsidR="000D19D6" w:rsidRPr="00985D39" w:rsidRDefault="000D19D6" w:rsidP="0023545C"/>
        </w:tc>
        <w:tc>
          <w:tcPr>
            <w:tcW w:w="8000" w:type="dxa"/>
            <w:vAlign w:val="center"/>
          </w:tcPr>
          <w:p w14:paraId="61C1D3DA" w14:textId="77777777" w:rsidR="000D19D6" w:rsidRDefault="000D19D6" w:rsidP="0023545C"/>
        </w:tc>
      </w:tr>
      <w:tr w:rsidR="00571CFA" w14:paraId="0EC1BC28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23903350" w14:textId="5181C051" w:rsidR="00571CFA" w:rsidRPr="00985D39" w:rsidRDefault="00571CFA" w:rsidP="0023545C">
            <w:r>
              <w:t>Alan Becerileri</w:t>
            </w:r>
          </w:p>
        </w:tc>
        <w:tc>
          <w:tcPr>
            <w:tcW w:w="8000" w:type="dxa"/>
            <w:vAlign w:val="center"/>
          </w:tcPr>
          <w:p w14:paraId="6E0D494B" w14:textId="51EFF2D9" w:rsidR="00571CFA" w:rsidRPr="00F353F7" w:rsidRDefault="00F353F7" w:rsidP="00F353F7">
            <w:r w:rsidRPr="00F353F7">
              <w:t>SAB9. Müziksel Dinleme Becerisi, SAB10. Müziksel Söyleme Becerisi, SAB13. Müziksel Hareket</w:t>
            </w:r>
            <w:r>
              <w:t xml:space="preserve"> </w:t>
            </w:r>
            <w:r w:rsidRPr="00F353F7">
              <w:t>Becerisi</w:t>
            </w:r>
          </w:p>
        </w:tc>
      </w:tr>
      <w:tr w:rsidR="00096A4E" w14:paraId="714839DA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08DAF058" w14:textId="2BF908B5" w:rsidR="00096A4E" w:rsidRPr="00985D39" w:rsidRDefault="00096A4E" w:rsidP="0023545C">
            <w:r w:rsidRPr="00985D39">
              <w:t>Kavramsal Beceriler</w:t>
            </w:r>
          </w:p>
        </w:tc>
        <w:tc>
          <w:tcPr>
            <w:tcW w:w="8000" w:type="dxa"/>
            <w:vAlign w:val="center"/>
          </w:tcPr>
          <w:p w14:paraId="52430CA0" w14:textId="36657F93" w:rsidR="00096A4E" w:rsidRPr="00F353F7" w:rsidRDefault="00F353F7" w:rsidP="00F353F7">
            <w:r w:rsidRPr="00F353F7">
              <w:t>KB2.4. Çözümleme Becerisi, KB2.7. Karşılaştırma Becerisi</w:t>
            </w:r>
          </w:p>
        </w:tc>
      </w:tr>
      <w:tr w:rsidR="00096A4E" w14:paraId="42033E02" w14:textId="77777777" w:rsidTr="0023545C">
        <w:trPr>
          <w:trHeight w:val="370"/>
        </w:trPr>
        <w:tc>
          <w:tcPr>
            <w:tcW w:w="1838" w:type="dxa"/>
            <w:vAlign w:val="center"/>
          </w:tcPr>
          <w:p w14:paraId="7AE05754" w14:textId="5D5DB2DD" w:rsidR="00096A4E" w:rsidRPr="00985D39" w:rsidRDefault="00096A4E" w:rsidP="0023545C">
            <w:r w:rsidRPr="00985D39">
              <w:t>Eğilimler</w:t>
            </w:r>
          </w:p>
        </w:tc>
        <w:tc>
          <w:tcPr>
            <w:tcW w:w="8000" w:type="dxa"/>
            <w:vAlign w:val="center"/>
          </w:tcPr>
          <w:p w14:paraId="19F24A42" w14:textId="77777777" w:rsidR="00F353F7" w:rsidRPr="00F353F7" w:rsidRDefault="00F353F7" w:rsidP="00F353F7">
            <w:r w:rsidRPr="00F353F7">
              <w:t>E1.1. Merak, E1.4. Kendine İnanma (Öz Yeterlilik), E1.5. Kendine Güvenme (Öz Güven),</w:t>
            </w:r>
          </w:p>
          <w:p w14:paraId="0B832A87" w14:textId="7F178A03" w:rsidR="00096A4E" w:rsidRPr="00F353F7" w:rsidRDefault="00F353F7" w:rsidP="00F353F7">
            <w:r w:rsidRPr="00F353F7">
              <w:t>E3.2. Odaklanma</w:t>
            </w:r>
          </w:p>
        </w:tc>
      </w:tr>
      <w:tr w:rsidR="00096A4E" w14:paraId="296C7AB3" w14:textId="77777777" w:rsidTr="0023545C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AE54A9E" w14:textId="083E899C" w:rsidR="00096A4E" w:rsidRPr="00597C65" w:rsidRDefault="00096A4E" w:rsidP="0023545C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PROGRAMLAR ARASI BİLEŞENLER</w:t>
            </w:r>
          </w:p>
        </w:tc>
      </w:tr>
      <w:tr w:rsidR="00096A4E" w14:paraId="713EF109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1ABDCB3" w14:textId="33A7FE37" w:rsidR="00096A4E" w:rsidRPr="00985D39" w:rsidRDefault="00096A4E" w:rsidP="0023545C">
            <w:r w:rsidRPr="00985D39">
              <w:t>Sosyal-Duygusal Öğrenme Becerileri</w:t>
            </w:r>
          </w:p>
        </w:tc>
        <w:tc>
          <w:tcPr>
            <w:tcW w:w="8000" w:type="dxa"/>
            <w:vAlign w:val="center"/>
          </w:tcPr>
          <w:p w14:paraId="793E974A" w14:textId="574B18C6" w:rsidR="00096A4E" w:rsidRPr="00F353F7" w:rsidRDefault="00F353F7" w:rsidP="00F353F7">
            <w:r w:rsidRPr="00F353F7">
              <w:t>SDB2.1. İletişim Becerisi, SDB2.2. İş Birliği Becerisi</w:t>
            </w:r>
          </w:p>
        </w:tc>
      </w:tr>
      <w:tr w:rsidR="00096A4E" w14:paraId="09C80CF5" w14:textId="77777777" w:rsidTr="0023545C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6B1C98D" w14:textId="6CD775AD" w:rsidR="00096A4E" w:rsidRPr="00985D39" w:rsidRDefault="00096A4E" w:rsidP="0023545C">
            <w:r w:rsidRPr="00985D39">
              <w:t>Değerler</w:t>
            </w:r>
          </w:p>
        </w:tc>
        <w:tc>
          <w:tcPr>
            <w:tcW w:w="8000" w:type="dxa"/>
            <w:vAlign w:val="center"/>
          </w:tcPr>
          <w:p w14:paraId="4103A71F" w14:textId="77777777" w:rsidR="00F353F7" w:rsidRPr="00F353F7" w:rsidRDefault="00F353F7" w:rsidP="00F353F7">
            <w:r w:rsidRPr="00F353F7">
              <w:t>D3. Çalışkanlık, D4. Dostluk, D11. Özgürlük, D13. Sağlıklı Yaşam, D14. Saygı, D15. Sevgi,</w:t>
            </w:r>
          </w:p>
          <w:p w14:paraId="3D8DF3A0" w14:textId="442F17E5" w:rsidR="00096A4E" w:rsidRPr="00F353F7" w:rsidRDefault="00F353F7" w:rsidP="00F353F7">
            <w:r w:rsidRPr="00F353F7">
              <w:t>D19. Vatanseverlik</w:t>
            </w:r>
          </w:p>
        </w:tc>
      </w:tr>
      <w:tr w:rsidR="00096A4E" w14:paraId="40FD2482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AA5BF96" w14:textId="76C3E2E7" w:rsidR="00096A4E" w:rsidRPr="00985D39" w:rsidRDefault="00096A4E" w:rsidP="0023545C">
            <w:r w:rsidRPr="00985D39">
              <w:t>Okuryazarlık Becerileri</w:t>
            </w:r>
          </w:p>
        </w:tc>
        <w:tc>
          <w:tcPr>
            <w:tcW w:w="8000" w:type="dxa"/>
            <w:vAlign w:val="center"/>
          </w:tcPr>
          <w:p w14:paraId="23B3BA41" w14:textId="3214DE3F" w:rsidR="00096A4E" w:rsidRPr="00F353F7" w:rsidRDefault="00F353F7" w:rsidP="00F353F7">
            <w:r w:rsidRPr="00F353F7">
              <w:t>OB1. Bilgi Okuryazarlığı, OB2. Dijital Okuryazarlık, OB9. Sanat Okuryazarlığı</w:t>
            </w:r>
          </w:p>
        </w:tc>
      </w:tr>
      <w:tr w:rsidR="00096A4E" w14:paraId="2470FD7C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A6E6159" w14:textId="335537D4" w:rsidR="00096A4E" w:rsidRPr="00985D39" w:rsidRDefault="00096A4E" w:rsidP="0023545C">
            <w:r w:rsidRPr="00985D39">
              <w:t>Disiplinler Arası İlişkiler</w:t>
            </w:r>
          </w:p>
        </w:tc>
        <w:tc>
          <w:tcPr>
            <w:tcW w:w="8000" w:type="dxa"/>
            <w:vAlign w:val="center"/>
          </w:tcPr>
          <w:p w14:paraId="0799702C" w14:textId="1AF88EAF" w:rsidR="00096A4E" w:rsidRPr="00F353F7" w:rsidRDefault="00F353F7" w:rsidP="00F353F7">
            <w:r w:rsidRPr="00F353F7">
              <w:t>Türkçe, Hayat Bilgisi, Beden Eğitimi</w:t>
            </w:r>
          </w:p>
        </w:tc>
      </w:tr>
      <w:tr w:rsidR="00353491" w14:paraId="781B079C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CEF6EC9" w14:textId="312DDACD" w:rsidR="00353491" w:rsidRPr="00985D39" w:rsidRDefault="00353491" w:rsidP="0023545C">
            <w:r w:rsidRPr="00985D39">
              <w:t>Beceriler Arası İlişkiler</w:t>
            </w:r>
          </w:p>
        </w:tc>
        <w:tc>
          <w:tcPr>
            <w:tcW w:w="8000" w:type="dxa"/>
            <w:vAlign w:val="center"/>
          </w:tcPr>
          <w:p w14:paraId="7879EA36" w14:textId="153EF02B" w:rsidR="00353491" w:rsidRPr="00F353F7" w:rsidRDefault="00F353F7" w:rsidP="00F353F7">
            <w:r w:rsidRPr="00F353F7">
              <w:t>KB2.13. Yapılandırma Becerisi</w:t>
            </w:r>
          </w:p>
        </w:tc>
      </w:tr>
      <w:tr w:rsidR="00096A4E" w14:paraId="7424CA60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B94C0D" w14:textId="6776F041" w:rsidR="00096A4E" w:rsidRPr="00985D39" w:rsidRDefault="00096A4E" w:rsidP="0023545C">
            <w:r w:rsidRPr="00985D39"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2C08CFD1" w14:textId="77777777" w:rsidR="00F353F7" w:rsidRPr="00F353F7" w:rsidRDefault="00F353F7" w:rsidP="00F353F7">
            <w:r w:rsidRPr="00F353F7">
              <w:t>MÜZ.1.1.1. İstiklâl Marşı’nın başlıca ögelerini çözümleyebilme</w:t>
            </w:r>
          </w:p>
          <w:p w14:paraId="69194DFB" w14:textId="77777777" w:rsidR="00F353F7" w:rsidRPr="00F353F7" w:rsidRDefault="00F353F7" w:rsidP="00F353F7">
            <w:r w:rsidRPr="00F353F7">
              <w:t>a) İstiklâl Marşı’nın başlıca ögelerini sözlü olarak ifade eder.</w:t>
            </w:r>
          </w:p>
          <w:p w14:paraId="68A74591" w14:textId="0AD173D9" w:rsidR="00353491" w:rsidRPr="00F353F7" w:rsidRDefault="00F353F7" w:rsidP="00F353F7">
            <w:r w:rsidRPr="00F353F7">
              <w:t>b) İstiklâl Marşı’nın başlıca ögelerini arasındaki ilişkileri sözlü olarak ifade eder.</w:t>
            </w:r>
          </w:p>
        </w:tc>
      </w:tr>
      <w:tr w:rsidR="00096A4E" w14:paraId="2EAF7AAF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274CAFF" w14:textId="6E915D49" w:rsidR="00096A4E" w:rsidRPr="00985D39" w:rsidRDefault="00096A4E" w:rsidP="0023545C">
            <w:r w:rsidRPr="00985D39">
              <w:t>İçerik Çerçevesi</w:t>
            </w:r>
          </w:p>
        </w:tc>
        <w:tc>
          <w:tcPr>
            <w:tcW w:w="8000" w:type="dxa"/>
            <w:vAlign w:val="center"/>
          </w:tcPr>
          <w:p w14:paraId="159C77E0" w14:textId="5BDD5537" w:rsidR="00096A4E" w:rsidRPr="00985D39" w:rsidRDefault="00F353F7" w:rsidP="0023545C">
            <w:r>
              <w:t>İstiklal Marşı</w:t>
            </w:r>
          </w:p>
        </w:tc>
      </w:tr>
      <w:tr w:rsidR="00096A4E" w14:paraId="10996CDF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0248CB" w14:textId="30DCDDF1" w:rsidR="00096A4E" w:rsidRPr="00985D39" w:rsidRDefault="00096A4E" w:rsidP="0023545C">
            <w:r w:rsidRPr="00985D39">
              <w:t>Anahtar Kavramlar</w:t>
            </w:r>
          </w:p>
        </w:tc>
        <w:tc>
          <w:tcPr>
            <w:tcW w:w="8000" w:type="dxa"/>
            <w:vAlign w:val="center"/>
          </w:tcPr>
          <w:p w14:paraId="7BAF5694" w14:textId="4E7C0FB1" w:rsidR="00096A4E" w:rsidRPr="00F353F7" w:rsidRDefault="00F353F7" w:rsidP="00F353F7">
            <w:r w:rsidRPr="00F353F7">
              <w:t>Ses kaynakları, tekerleme, ninni, sayışmaca</w:t>
            </w:r>
          </w:p>
        </w:tc>
      </w:tr>
      <w:tr w:rsidR="00096A4E" w14:paraId="38C843C5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8F25949" w14:textId="117B4ECB" w:rsidR="00096A4E" w:rsidRPr="00985D39" w:rsidRDefault="00096A4E" w:rsidP="0023545C">
            <w:r w:rsidRPr="00985D39"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34584127" w14:textId="59991A3E" w:rsidR="00353491" w:rsidRPr="00F353F7" w:rsidRDefault="00F353F7" w:rsidP="00F353F7">
            <w:r w:rsidRPr="00F353F7">
              <w:t>Bu temadaki öğrenme çıktıları; gözlem formu, kısa cevaplı/açık uçlu sorular, kontrol listesi,</w:t>
            </w:r>
            <w:r>
              <w:t xml:space="preserve"> </w:t>
            </w:r>
            <w:r w:rsidRPr="00F353F7">
              <w:t>dereceli puanlama anahtarı kullanılarak değerlendirilebilir. Doğadan/çevreden/nesnelerden</w:t>
            </w:r>
            <w:r>
              <w:t xml:space="preserve"> </w:t>
            </w:r>
            <w:r w:rsidRPr="00F353F7">
              <w:t>duyulan seslerin özelliklerini, bu seslerin benzerliklerini ve farklılıklarını karşılaştırmalarına</w:t>
            </w:r>
            <w:r>
              <w:t xml:space="preserve"> </w:t>
            </w:r>
            <w:r w:rsidRPr="00F353F7">
              <w:t>yönelik performans görevi verilebilir.</w:t>
            </w:r>
          </w:p>
        </w:tc>
      </w:tr>
      <w:tr w:rsidR="00096A4E" w14:paraId="37BF584D" w14:textId="77777777" w:rsidTr="0023545C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2CAB03D9" w14:textId="0B44BFA6" w:rsidR="00096A4E" w:rsidRPr="00597C65" w:rsidRDefault="00096A4E" w:rsidP="0023545C">
            <w:pPr>
              <w:jc w:val="center"/>
              <w:rPr>
                <w:b/>
                <w:bCs/>
                <w:color w:val="000000" w:themeColor="text1"/>
              </w:rPr>
            </w:pPr>
            <w:r w:rsidRPr="00597C65">
              <w:rPr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096A4E" w14:paraId="00C2187B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42AB4BDA" w14:textId="571A405C" w:rsidR="00096A4E" w:rsidRPr="00985D39" w:rsidRDefault="00096A4E" w:rsidP="0023545C">
            <w:r w:rsidRPr="00985D39">
              <w:t>Temel Kabuller</w:t>
            </w:r>
          </w:p>
        </w:tc>
        <w:tc>
          <w:tcPr>
            <w:tcW w:w="8000" w:type="dxa"/>
            <w:vAlign w:val="center"/>
          </w:tcPr>
          <w:p w14:paraId="4089C7C8" w14:textId="476DAD04" w:rsidR="00096A4E" w:rsidRPr="00F353F7" w:rsidRDefault="00F353F7" w:rsidP="00F353F7">
            <w:r w:rsidRPr="00F353F7">
              <w:t>Öğrencilerin önceden İstiklâl Marşı’nı fiziksel ve dijital ortamlarda duydukları, Türk bayrağını</w:t>
            </w:r>
            <w:r>
              <w:t xml:space="preserve"> </w:t>
            </w:r>
            <w:r w:rsidRPr="00F353F7">
              <w:t>gördükleri, doğadan/çevreden/nesnelerden gelen farklı sesleri duydukları, farklı türdeki</w:t>
            </w:r>
            <w:r>
              <w:t xml:space="preserve"> </w:t>
            </w:r>
            <w:r w:rsidRPr="00F353F7">
              <w:t>eserleri dinledikleri; parmak şıklatma, alkış yapma, eliyle dizine vurma, ayakları ile yere</w:t>
            </w:r>
            <w:r>
              <w:t xml:space="preserve"> </w:t>
            </w:r>
            <w:r w:rsidRPr="00F353F7">
              <w:t>vurma gibi bazı temel bedensel hareketleri bildikleri kabul edilmektedir.</w:t>
            </w:r>
          </w:p>
        </w:tc>
      </w:tr>
      <w:tr w:rsidR="00096A4E" w14:paraId="67B714FF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3131CB7A" w14:textId="00CC78C4" w:rsidR="00096A4E" w:rsidRPr="00985D39" w:rsidRDefault="00096A4E" w:rsidP="0023545C">
            <w:r w:rsidRPr="00985D39">
              <w:t>Ön Değerlendirme Süreci</w:t>
            </w:r>
          </w:p>
        </w:tc>
        <w:tc>
          <w:tcPr>
            <w:tcW w:w="8000" w:type="dxa"/>
            <w:vAlign w:val="center"/>
          </w:tcPr>
          <w:p w14:paraId="5E57C1EA" w14:textId="35EF5C5E" w:rsidR="00985D39" w:rsidRPr="00F353F7" w:rsidRDefault="00F353F7" w:rsidP="00F353F7">
            <w:r w:rsidRPr="00F353F7">
              <w:t>Öğrencilerin bayrak ve İstiklâl Marşı’na, doğadan/çevreden/nesnelerden hangi varlıkların</w:t>
            </w:r>
            <w:r>
              <w:t xml:space="preserve"> </w:t>
            </w:r>
            <w:r w:rsidRPr="00F353F7">
              <w:t>seslerini duydukları ve farklı türdeki eserlere yönelik bilgi düzeyleri soru-cevap şeklinde;</w:t>
            </w:r>
            <w:r>
              <w:t xml:space="preserve"> </w:t>
            </w:r>
            <w:r w:rsidRPr="00F353F7">
              <w:t>parmak şıklatma, alkış yapma, eliyle dizine vurma, ayakları ile yere vurma gibi bazı temel</w:t>
            </w:r>
            <w:r>
              <w:t xml:space="preserve"> </w:t>
            </w:r>
            <w:r w:rsidRPr="00F353F7">
              <w:t>bedensel hareketlere yönelik becerileri ise gözlem formlarıyla ölçülebilir.</w:t>
            </w:r>
          </w:p>
        </w:tc>
      </w:tr>
      <w:tr w:rsidR="00096A4E" w:rsidRPr="00597C65" w14:paraId="38B11B72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75AD5AD7" w14:textId="59E83E5C" w:rsidR="00096A4E" w:rsidRPr="00985D39" w:rsidRDefault="00096A4E" w:rsidP="0023545C">
            <w:r w:rsidRPr="00985D39">
              <w:t>Köprü Kurma</w:t>
            </w:r>
          </w:p>
        </w:tc>
        <w:tc>
          <w:tcPr>
            <w:tcW w:w="8000" w:type="dxa"/>
            <w:vAlign w:val="center"/>
          </w:tcPr>
          <w:p w14:paraId="1682F301" w14:textId="7946E9D3" w:rsidR="00096A4E" w:rsidRPr="00F353F7" w:rsidRDefault="00F353F7" w:rsidP="00F353F7">
            <w:r w:rsidRPr="00F353F7">
              <w:t>Öğrencilere Türk Bayrağı ve İstiklâl Marşı ile doğadaki ve çevredeki varlıklardan duydukları sesler</w:t>
            </w:r>
            <w:r>
              <w:t xml:space="preserve"> </w:t>
            </w:r>
            <w:r w:rsidRPr="00F353F7">
              <w:t>hakkında sorular sorulabilir. Daha sonra fikirlerini kendi yaşantılarından ve deneyimlerinden</w:t>
            </w:r>
            <w:r>
              <w:t xml:space="preserve"> </w:t>
            </w:r>
            <w:r w:rsidRPr="00F353F7">
              <w:t>yararlanarak açıklamaları istenebilir. Farklı türdeki eserlere; parmak şıklatma, alkış yapma,</w:t>
            </w:r>
            <w:r>
              <w:t xml:space="preserve"> </w:t>
            </w:r>
            <w:r w:rsidRPr="00F353F7">
              <w:t>eliyle dizine vurma, ayakları ile yere vurma gibi bazı temel bedensel hareketlere yönelik becerileri</w:t>
            </w:r>
            <w:r>
              <w:t xml:space="preserve"> </w:t>
            </w:r>
            <w:r w:rsidRPr="00F353F7">
              <w:t>kendi yaşantılarından ve deneyimlerinden yararlanarak ifade etmeleri istenebilir.</w:t>
            </w:r>
          </w:p>
        </w:tc>
      </w:tr>
      <w:tr w:rsidR="00096A4E" w14:paraId="0B094947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7D76B316" w14:textId="1D42B883" w:rsidR="00096A4E" w:rsidRPr="00985D39" w:rsidRDefault="00096A4E" w:rsidP="0023545C">
            <w:r w:rsidRPr="00985D39">
              <w:t>Öğrenme-Öğretme Uygulamaları</w:t>
            </w:r>
          </w:p>
        </w:tc>
        <w:tc>
          <w:tcPr>
            <w:tcW w:w="8000" w:type="dxa"/>
            <w:vAlign w:val="center"/>
          </w:tcPr>
          <w:p w14:paraId="4DC1488E" w14:textId="26B87B36" w:rsidR="0023545C" w:rsidRPr="00F353F7" w:rsidRDefault="00F353F7" w:rsidP="00F353F7">
            <w:r w:rsidRPr="00F353F7">
              <w:t>Öğrencilere İstiklâl Marşı’nın ögeleri ile ilgili sorular sorulur (E1.1). Bu ögelerden biri olan</w:t>
            </w:r>
            <w:r>
              <w:t xml:space="preserve"> </w:t>
            </w:r>
            <w:r w:rsidRPr="00F353F7">
              <w:t>Türk Bayrağı’nın sembollerini kendi cümleleriyle ifade etmeleri istenebilir. Türk bayrağının</w:t>
            </w:r>
            <w:r>
              <w:t xml:space="preserve"> </w:t>
            </w:r>
            <w:r w:rsidRPr="00F353F7">
              <w:t>rengi ile üzerindeki ay ve yıldızın anlamına vurgu yapılır. İstiklâl Marşı’nın millî birlik ve beraberliğimizin</w:t>
            </w:r>
            <w:r>
              <w:t xml:space="preserve"> </w:t>
            </w:r>
            <w:r w:rsidRPr="00F353F7">
              <w:t>ve bağımsızlığımızın başlıca sembollerinden biri olduğu hakkında fikir birliğine</w:t>
            </w:r>
            <w:r>
              <w:t xml:space="preserve"> </w:t>
            </w:r>
            <w:r w:rsidRPr="00F353F7">
              <w:t>varılır</w:t>
            </w:r>
            <w:r>
              <w:t xml:space="preserve">. </w:t>
            </w:r>
            <w:r w:rsidRPr="00F353F7">
              <w:t>İstiklâl Marşı dinlenirken ve söylenirken yüzleri bayrağa dönük</w:t>
            </w:r>
            <w:r>
              <w:t xml:space="preserve"> </w:t>
            </w:r>
            <w:r w:rsidRPr="00F353F7">
              <w:t xml:space="preserve">bir şekilde dikkatlice “hazır ol” duruşunda saygı ile beklemeleri gerektiği </w:t>
            </w:r>
            <w:r w:rsidRPr="00F353F7">
              <w:lastRenderedPageBreak/>
              <w:t>öğrencilere açıklanır</w:t>
            </w:r>
            <w:r>
              <w:t xml:space="preserve"> </w:t>
            </w:r>
            <w:r w:rsidRPr="00F353F7">
              <w:t>ve öğrencilerin bu davranışı göstermeleri beklenir (E3.2). Öğrencilerden İstiklâl Marşı’nın</w:t>
            </w:r>
            <w:r>
              <w:t xml:space="preserve"> </w:t>
            </w:r>
            <w:r w:rsidRPr="00F353F7">
              <w:t>başlıca ögeleri ve bu ögeler arasındaki ilişkileri ayrı ayrı ifade etmeleri istenebilir</w:t>
            </w:r>
            <w:r>
              <w:t>.</w:t>
            </w:r>
          </w:p>
        </w:tc>
      </w:tr>
      <w:tr w:rsidR="00096A4E" w14:paraId="68F73265" w14:textId="77777777" w:rsidTr="0023545C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681AD8AC" w14:textId="4E2C020D" w:rsidR="00096A4E" w:rsidRPr="00597C65" w:rsidRDefault="00096A4E" w:rsidP="0023545C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lastRenderedPageBreak/>
              <w:t>FARKLILAŞTIRMA</w:t>
            </w:r>
          </w:p>
        </w:tc>
      </w:tr>
      <w:tr w:rsidR="00096A4E" w14:paraId="5A2793DC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6E554CD1" w14:textId="74C18F3E" w:rsidR="00096A4E" w:rsidRPr="00985D39" w:rsidRDefault="00096A4E" w:rsidP="0023545C">
            <w:r w:rsidRPr="00985D39">
              <w:t>Zenginleştirme</w:t>
            </w:r>
          </w:p>
        </w:tc>
        <w:tc>
          <w:tcPr>
            <w:tcW w:w="8000" w:type="dxa"/>
            <w:vAlign w:val="center"/>
          </w:tcPr>
          <w:p w14:paraId="5970DEFE" w14:textId="379E04D5" w:rsidR="00096A4E" w:rsidRPr="00F353F7" w:rsidRDefault="00F353F7" w:rsidP="00F353F7">
            <w:r w:rsidRPr="00F353F7">
              <w:t>Öğrencilerden Türk Bayrağı ve İstiklâl Marşı’yla ilgili bir poster hazırlama, hikâye oluşturma</w:t>
            </w:r>
            <w:r>
              <w:t xml:space="preserve"> </w:t>
            </w:r>
            <w:r w:rsidRPr="00F353F7">
              <w:t>gibi etkinlikler hazırlamaları istenebilir.</w:t>
            </w:r>
          </w:p>
        </w:tc>
      </w:tr>
      <w:tr w:rsidR="00096A4E" w14:paraId="4A585E4E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3B6033BE" w14:textId="52AE3A95" w:rsidR="00096A4E" w:rsidRPr="00985D39" w:rsidRDefault="00096A4E" w:rsidP="0023545C">
            <w:r w:rsidRPr="00985D39">
              <w:t>Destekleme</w:t>
            </w:r>
          </w:p>
        </w:tc>
        <w:tc>
          <w:tcPr>
            <w:tcW w:w="8000" w:type="dxa"/>
            <w:vAlign w:val="center"/>
          </w:tcPr>
          <w:p w14:paraId="74ADCB2C" w14:textId="40719C73" w:rsidR="00096A4E" w:rsidRPr="00F353F7" w:rsidRDefault="00F353F7" w:rsidP="00F353F7">
            <w:r w:rsidRPr="00F353F7">
              <w:t>Türk Bayrağı ve İstiklâl Marşı ile ilgili çeşitli görsel ve işitsel materyaller kullanılabilir, boyama</w:t>
            </w:r>
            <w:r>
              <w:t xml:space="preserve"> </w:t>
            </w:r>
            <w:r w:rsidRPr="00F353F7">
              <w:t>etkinlikleri yaptırılabilir.</w:t>
            </w:r>
          </w:p>
        </w:tc>
      </w:tr>
      <w:tr w:rsidR="00096A4E" w14:paraId="00730696" w14:textId="77777777" w:rsidTr="0023545C">
        <w:trPr>
          <w:trHeight w:val="961"/>
        </w:trPr>
        <w:tc>
          <w:tcPr>
            <w:tcW w:w="1838" w:type="dxa"/>
            <w:vAlign w:val="center"/>
          </w:tcPr>
          <w:p w14:paraId="3B26B1F9" w14:textId="30D58F4D" w:rsidR="00597C65" w:rsidRPr="00985D39" w:rsidRDefault="00096A4E" w:rsidP="0023545C">
            <w:r w:rsidRPr="00985D39">
              <w:t>Öğretmen Yansıtmaları</w:t>
            </w:r>
          </w:p>
        </w:tc>
        <w:tc>
          <w:tcPr>
            <w:tcW w:w="8000" w:type="dxa"/>
            <w:vAlign w:val="center"/>
          </w:tcPr>
          <w:p w14:paraId="56867CEA" w14:textId="77777777" w:rsidR="00096A4E" w:rsidRPr="00985D39" w:rsidRDefault="00096A4E" w:rsidP="0023545C"/>
        </w:tc>
      </w:tr>
    </w:tbl>
    <w:p w14:paraId="797890B7" w14:textId="417840E3" w:rsidR="00096A4E" w:rsidRDefault="00096A4E" w:rsidP="000D19D6"/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F3BBE85" w14:textId="4DBDBBAB" w:rsidR="00A9056D" w:rsidRDefault="00A9056D" w:rsidP="007B6F3D"/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2698960F" w14:textId="4DE1277A" w:rsidR="008A677E" w:rsidRDefault="008A677E" w:rsidP="008A677E">
      <w:pPr>
        <w:pStyle w:val="AralkYok"/>
        <w:ind w:left="7788" w:firstLine="708"/>
      </w:pPr>
      <w:r>
        <w:t xml:space="preserve">  0</w:t>
      </w:r>
      <w:r w:rsidR="007B6F3D">
        <w:t>8</w:t>
      </w:r>
      <w:r>
        <w:t>/09/202</w:t>
      </w:r>
      <w:r w:rsidR="007B6F3D">
        <w:t>5</w:t>
      </w:r>
    </w:p>
    <w:p w14:paraId="62B62DC1" w14:textId="02D5667E" w:rsidR="00A9056D" w:rsidRDefault="007B6F3D" w:rsidP="008A677E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CD5CE7" wp14:editId="4A0856A3">
            <wp:simplePos x="0" y="0"/>
            <wp:positionH relativeFrom="margin">
              <wp:posOffset>28575</wp:posOffset>
            </wp:positionH>
            <wp:positionV relativeFrom="margin">
              <wp:posOffset>9582150</wp:posOffset>
            </wp:positionV>
            <wp:extent cx="1905000" cy="256540"/>
            <wp:effectExtent l="0" t="0" r="0" b="0"/>
            <wp:wrapSquare wrapText="bothSides"/>
            <wp:docPr id="112648176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77E">
        <w:t>Sınıf Öğretmeni</w:t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rPr>
          <w:noProof/>
        </w:rPr>
        <w:drawing>
          <wp:anchor distT="0" distB="0" distL="114300" distR="114300" simplePos="0" relativeHeight="251659264" behindDoc="0" locked="0" layoutInCell="1" allowOverlap="1" wp14:anchorId="096E9F3C" wp14:editId="618BC4C3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1" name="Resim 1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A677E">
        <w:t>Okul Müdürü</w:t>
      </w:r>
    </w:p>
    <w:sectPr w:rsidR="00A9056D" w:rsidSect="0023545C">
      <w:headerReference w:type="default" r:id="rId9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7EE18" w14:textId="77777777" w:rsidR="004F1549" w:rsidRDefault="004F1549" w:rsidP="00096A4E">
      <w:pPr>
        <w:spacing w:after="0" w:line="240" w:lineRule="auto"/>
      </w:pPr>
      <w:r>
        <w:separator/>
      </w:r>
    </w:p>
  </w:endnote>
  <w:endnote w:type="continuationSeparator" w:id="0">
    <w:p w14:paraId="17D3E0A8" w14:textId="77777777" w:rsidR="004F1549" w:rsidRDefault="004F1549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DCEBC" w14:textId="77777777" w:rsidR="004F1549" w:rsidRDefault="004F1549" w:rsidP="00096A4E">
      <w:pPr>
        <w:spacing w:after="0" w:line="240" w:lineRule="auto"/>
      </w:pPr>
      <w:r>
        <w:separator/>
      </w:r>
    </w:p>
  </w:footnote>
  <w:footnote w:type="continuationSeparator" w:id="0">
    <w:p w14:paraId="38308960" w14:textId="77777777" w:rsidR="004F1549" w:rsidRDefault="004F1549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32D93C93" w:rsidR="00096A4E" w:rsidRPr="00096A4E" w:rsidRDefault="00096A4E" w:rsidP="00985D39">
    <w:pPr>
      <w:pStyle w:val="stBilgi"/>
      <w:jc w:val="right"/>
      <w:rPr>
        <w:rFonts w:cstheme="minorHAnsi"/>
        <w:sz w:val="20"/>
        <w:szCs w:val="20"/>
      </w:rPr>
    </w:pPr>
    <w:r w:rsidRPr="00096A4E">
      <w:rPr>
        <w:rFonts w:cstheme="minorHAnsi"/>
        <w:sz w:val="20"/>
        <w:szCs w:val="20"/>
      </w:rPr>
      <w:t>1. HAFTA</w:t>
    </w:r>
  </w:p>
  <w:p w14:paraId="356F0B35" w14:textId="16BC4A56" w:rsidR="00096A4E" w:rsidRDefault="0019183D" w:rsidP="0023545C">
    <w:pPr>
      <w:pStyle w:val="stBilgi"/>
      <w:jc w:val="center"/>
    </w:pPr>
    <w:r>
      <w:t>1/…</w:t>
    </w:r>
    <w:r w:rsidR="0023545C">
      <w:t xml:space="preserve"> SINIFI </w:t>
    </w:r>
    <w:r w:rsidR="00F353F7">
      <w:t>MÜZİK</w:t>
    </w:r>
    <w:r w:rsidR="0023545C">
      <w:t xml:space="preserve"> DERSİ GÜNLÜK PLANI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"/>
  </w:num>
  <w:num w:numId="2" w16cid:durableId="1156990206">
    <w:abstractNumId w:val="3"/>
  </w:num>
  <w:num w:numId="3" w16cid:durableId="62262986">
    <w:abstractNumId w:val="1"/>
  </w:num>
  <w:num w:numId="4" w16cid:durableId="25247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0D19D6"/>
    <w:rsid w:val="0019183D"/>
    <w:rsid w:val="0023545C"/>
    <w:rsid w:val="00353491"/>
    <w:rsid w:val="00421C3A"/>
    <w:rsid w:val="0047305E"/>
    <w:rsid w:val="004E14AB"/>
    <w:rsid w:val="004F1549"/>
    <w:rsid w:val="00571CFA"/>
    <w:rsid w:val="00597C65"/>
    <w:rsid w:val="006B3169"/>
    <w:rsid w:val="007B5E23"/>
    <w:rsid w:val="007B6F3D"/>
    <w:rsid w:val="008A677E"/>
    <w:rsid w:val="008F7895"/>
    <w:rsid w:val="00985D39"/>
    <w:rsid w:val="009E39CB"/>
    <w:rsid w:val="00A4783D"/>
    <w:rsid w:val="00A9056D"/>
    <w:rsid w:val="00A94212"/>
    <w:rsid w:val="00B64C22"/>
    <w:rsid w:val="00B73CFC"/>
    <w:rsid w:val="00BC7EFC"/>
    <w:rsid w:val="00C823A4"/>
    <w:rsid w:val="00F353F7"/>
    <w:rsid w:val="00F5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2025-09-08T19:04:00Z</dcterms:created>
  <dcterms:modified xsi:type="dcterms:W3CDTF">2025-09-08T19:04:00Z</dcterms:modified>
</cp:coreProperties>
</file>