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63299F0B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F13960">
        <w:rPr>
          <w:rFonts w:ascii="Calibri" w:hAnsi="Calibri" w:cs="Calibri"/>
          <w:color w:val="FF0000"/>
          <w:sz w:val="36"/>
          <w:szCs w:val="36"/>
        </w:rPr>
        <w:t>T</w:t>
      </w:r>
      <w:r w:rsidR="00C06909">
        <w:rPr>
          <w:rFonts w:ascii="Calibri" w:hAnsi="Calibri" w:cs="Calibri"/>
          <w:color w:val="FF0000"/>
          <w:sz w:val="36"/>
          <w:szCs w:val="36"/>
        </w:rPr>
        <w:t>oplama ve Çıkarma İşlemleri İlişkisi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30172C"/>
    <w:rsid w:val="003138FE"/>
    <w:rsid w:val="003E48DB"/>
    <w:rsid w:val="004C2F45"/>
    <w:rsid w:val="004D2615"/>
    <w:rsid w:val="0050159E"/>
    <w:rsid w:val="005533DC"/>
    <w:rsid w:val="00620F5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6909"/>
    <w:rsid w:val="00C07684"/>
    <w:rsid w:val="00C33C43"/>
    <w:rsid w:val="00CC2329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2026-02-15T21:19:00Z</dcterms:created>
  <dcterms:modified xsi:type="dcterms:W3CDTF">2026-02-15T21:19:00Z</dcterms:modified>
</cp:coreProperties>
</file>