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5716A" w14:textId="04C5341F" w:rsidR="00AD633C" w:rsidRDefault="00AD633C" w:rsidP="00866117">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AD633C" w:rsidRPr="007350EE" w14:paraId="1DB385D1" w14:textId="77777777" w:rsidTr="008A5D63">
        <w:trPr>
          <w:trHeight w:val="274"/>
        </w:trPr>
        <w:tc>
          <w:tcPr>
            <w:tcW w:w="2405" w:type="dxa"/>
            <w:vAlign w:val="center"/>
          </w:tcPr>
          <w:p w14:paraId="24319B05" w14:textId="77777777" w:rsidR="00AD633C" w:rsidRPr="007350EE" w:rsidRDefault="00AD633C" w:rsidP="008A5D63">
            <w:pPr>
              <w:rPr>
                <w:rFonts w:cstheme="minorHAnsi"/>
              </w:rPr>
            </w:pPr>
            <w:r w:rsidRPr="007350EE">
              <w:rPr>
                <w:rFonts w:cstheme="minorHAnsi"/>
              </w:rPr>
              <w:t>Öğrenme Alanı</w:t>
            </w:r>
          </w:p>
        </w:tc>
        <w:tc>
          <w:tcPr>
            <w:tcW w:w="7433" w:type="dxa"/>
            <w:vAlign w:val="center"/>
          </w:tcPr>
          <w:p w14:paraId="1E14C418" w14:textId="77777777" w:rsidR="00AD633C" w:rsidRPr="007350EE" w:rsidRDefault="00AD633C" w:rsidP="008A5D63">
            <w:pPr>
              <w:rPr>
                <w:rFonts w:cstheme="minorHAnsi"/>
              </w:rPr>
            </w:pPr>
            <w:r>
              <w:rPr>
                <w:rFonts w:cstheme="minorHAnsi"/>
              </w:rPr>
              <w:t>SAYILAR VE NİCELİKLER (2)</w:t>
            </w:r>
          </w:p>
        </w:tc>
      </w:tr>
      <w:tr w:rsidR="00AD633C" w:rsidRPr="007350EE" w14:paraId="1F674BC9" w14:textId="77777777" w:rsidTr="008A5D63">
        <w:trPr>
          <w:trHeight w:val="268"/>
        </w:trPr>
        <w:tc>
          <w:tcPr>
            <w:tcW w:w="2405" w:type="dxa"/>
            <w:vAlign w:val="center"/>
          </w:tcPr>
          <w:p w14:paraId="0B216624" w14:textId="77777777" w:rsidR="00AD633C" w:rsidRPr="007350EE" w:rsidRDefault="00AD633C" w:rsidP="008A5D63">
            <w:pPr>
              <w:rPr>
                <w:rFonts w:cstheme="minorHAnsi"/>
              </w:rPr>
            </w:pPr>
            <w:r w:rsidRPr="007350EE">
              <w:rPr>
                <w:rFonts w:cstheme="minorHAnsi"/>
              </w:rPr>
              <w:t>Süre</w:t>
            </w:r>
          </w:p>
        </w:tc>
        <w:tc>
          <w:tcPr>
            <w:tcW w:w="7433" w:type="dxa"/>
            <w:vAlign w:val="center"/>
          </w:tcPr>
          <w:p w14:paraId="1B5823EF" w14:textId="23289916" w:rsidR="00AD633C" w:rsidRPr="007350EE" w:rsidRDefault="00866117" w:rsidP="008A5D63">
            <w:pPr>
              <w:rPr>
                <w:rFonts w:cstheme="minorHAnsi"/>
              </w:rPr>
            </w:pPr>
            <w:r>
              <w:rPr>
                <w:rFonts w:cstheme="minorHAnsi"/>
              </w:rPr>
              <w:t>5</w:t>
            </w:r>
            <w:r w:rsidR="00AD633C" w:rsidRPr="007350EE">
              <w:rPr>
                <w:rFonts w:cstheme="minorHAnsi"/>
              </w:rPr>
              <w:t xml:space="preserve"> Ders Saati</w:t>
            </w:r>
          </w:p>
        </w:tc>
      </w:tr>
      <w:tr w:rsidR="00AD633C" w:rsidRPr="007350EE" w14:paraId="6B9178B6" w14:textId="77777777" w:rsidTr="008A5D63">
        <w:trPr>
          <w:trHeight w:val="285"/>
        </w:trPr>
        <w:tc>
          <w:tcPr>
            <w:tcW w:w="2405" w:type="dxa"/>
            <w:vAlign w:val="center"/>
          </w:tcPr>
          <w:p w14:paraId="58D32E31" w14:textId="77777777" w:rsidR="00AD633C" w:rsidRPr="007350EE" w:rsidRDefault="00AD633C" w:rsidP="008A5D63">
            <w:pPr>
              <w:rPr>
                <w:rFonts w:cstheme="minorHAnsi"/>
              </w:rPr>
            </w:pPr>
            <w:r w:rsidRPr="007350EE">
              <w:rPr>
                <w:rFonts w:cstheme="minorHAnsi"/>
              </w:rPr>
              <w:t>Kavramsal Beceriler</w:t>
            </w:r>
          </w:p>
        </w:tc>
        <w:tc>
          <w:tcPr>
            <w:tcW w:w="7433" w:type="dxa"/>
            <w:vAlign w:val="center"/>
          </w:tcPr>
          <w:p w14:paraId="389FF547" w14:textId="77777777" w:rsidR="00AD633C" w:rsidRPr="009568B8" w:rsidRDefault="00AD633C" w:rsidP="008A5D63">
            <w:r w:rsidRPr="009568B8">
              <w:t>KB1. Temel Beceriler, KB2.4. Çözümleme, KB2.11. Gözleme Dayalı Tahmin Etme, KB2.15. Yansıtma</w:t>
            </w:r>
          </w:p>
        </w:tc>
      </w:tr>
      <w:tr w:rsidR="00AD633C" w:rsidRPr="007350EE" w14:paraId="0DEF649F" w14:textId="77777777" w:rsidTr="008A5D63">
        <w:trPr>
          <w:trHeight w:val="134"/>
        </w:trPr>
        <w:tc>
          <w:tcPr>
            <w:tcW w:w="2405" w:type="dxa"/>
            <w:vAlign w:val="center"/>
          </w:tcPr>
          <w:p w14:paraId="46D0C8BD" w14:textId="77777777" w:rsidR="00AD633C" w:rsidRPr="007350EE" w:rsidRDefault="00AD633C" w:rsidP="008A5D63">
            <w:pPr>
              <w:rPr>
                <w:rFonts w:cstheme="minorHAnsi"/>
              </w:rPr>
            </w:pPr>
            <w:r w:rsidRPr="007350EE">
              <w:rPr>
                <w:rFonts w:cstheme="minorHAnsi"/>
              </w:rPr>
              <w:t>Eğilimler</w:t>
            </w:r>
          </w:p>
        </w:tc>
        <w:tc>
          <w:tcPr>
            <w:tcW w:w="7433" w:type="dxa"/>
            <w:vAlign w:val="center"/>
          </w:tcPr>
          <w:p w14:paraId="52B1E6C8" w14:textId="77777777" w:rsidR="00AD633C" w:rsidRPr="009568B8" w:rsidRDefault="00AD633C" w:rsidP="008A5D63">
            <w:r w:rsidRPr="009568B8">
              <w:t xml:space="preserve">E1.1. Merak, E2.5. </w:t>
            </w:r>
            <w:proofErr w:type="spellStart"/>
            <w:r w:rsidRPr="009568B8">
              <w:t>Oyunseverlik</w:t>
            </w:r>
            <w:proofErr w:type="spellEnd"/>
            <w:r w:rsidRPr="009568B8">
              <w:t>, E3.3. Yaratıcılık, E3.4. Gerçeği Arama, E3.6. Analitik Düşünme, E3.8. Soru Sorma</w:t>
            </w:r>
          </w:p>
        </w:tc>
      </w:tr>
      <w:tr w:rsidR="00AD633C" w:rsidRPr="007350EE" w14:paraId="2BE6D394" w14:textId="77777777" w:rsidTr="008A5D63">
        <w:trPr>
          <w:trHeight w:val="135"/>
        </w:trPr>
        <w:tc>
          <w:tcPr>
            <w:tcW w:w="9838" w:type="dxa"/>
            <w:gridSpan w:val="2"/>
            <w:shd w:val="clear" w:color="auto" w:fill="9CC2E5" w:themeFill="accent1" w:themeFillTint="99"/>
            <w:vAlign w:val="center"/>
          </w:tcPr>
          <w:p w14:paraId="33F3D2B2" w14:textId="77777777" w:rsidR="00AD633C" w:rsidRPr="007350EE" w:rsidRDefault="00AD633C" w:rsidP="008A5D63">
            <w:pPr>
              <w:jc w:val="center"/>
              <w:rPr>
                <w:rFonts w:cstheme="minorHAnsi"/>
                <w:b/>
                <w:bCs/>
              </w:rPr>
            </w:pPr>
            <w:r w:rsidRPr="007350EE">
              <w:rPr>
                <w:rFonts w:cstheme="minorHAnsi"/>
                <w:b/>
                <w:bCs/>
              </w:rPr>
              <w:t>PROGRAMLAR ARASI BİLEŞENLER</w:t>
            </w:r>
          </w:p>
        </w:tc>
      </w:tr>
      <w:tr w:rsidR="00AD633C" w:rsidRPr="007350EE" w14:paraId="721FEE6E" w14:textId="77777777" w:rsidTr="008A5D63">
        <w:trPr>
          <w:trHeight w:val="499"/>
        </w:trPr>
        <w:tc>
          <w:tcPr>
            <w:tcW w:w="2405" w:type="dxa"/>
            <w:shd w:val="clear" w:color="auto" w:fill="FFFFFF" w:themeFill="background1"/>
            <w:vAlign w:val="center"/>
          </w:tcPr>
          <w:p w14:paraId="514F913B" w14:textId="77777777" w:rsidR="00AD633C" w:rsidRPr="007350EE" w:rsidRDefault="00AD633C" w:rsidP="008A5D63">
            <w:pPr>
              <w:rPr>
                <w:rFonts w:cstheme="minorHAnsi"/>
              </w:rPr>
            </w:pPr>
            <w:r w:rsidRPr="007350EE">
              <w:rPr>
                <w:rFonts w:cstheme="minorHAnsi"/>
              </w:rPr>
              <w:t>Sosyal-Duygusal Öğrenme Becerileri</w:t>
            </w:r>
          </w:p>
        </w:tc>
        <w:tc>
          <w:tcPr>
            <w:tcW w:w="7433" w:type="dxa"/>
            <w:vAlign w:val="center"/>
          </w:tcPr>
          <w:p w14:paraId="748374AC" w14:textId="77777777" w:rsidR="00AD633C" w:rsidRPr="009568B8" w:rsidRDefault="00AD633C" w:rsidP="008A5D63">
            <w:r w:rsidRPr="009568B8">
              <w:t>SDB1.2. Kendini Düzenleme (Öz Düzenleme Becerisi), SDB2.1 İletişim, SDB2.2. İş Birliği, SDB3.1. Uyum, SDB3.3. Sorumlu Karar Verme</w:t>
            </w:r>
          </w:p>
        </w:tc>
      </w:tr>
      <w:tr w:rsidR="00AD633C" w:rsidRPr="007350EE" w14:paraId="426744F0" w14:textId="77777777" w:rsidTr="008A5D63">
        <w:trPr>
          <w:trHeight w:val="276"/>
        </w:trPr>
        <w:tc>
          <w:tcPr>
            <w:tcW w:w="2405" w:type="dxa"/>
            <w:shd w:val="clear" w:color="auto" w:fill="FFFFFF" w:themeFill="background1"/>
            <w:vAlign w:val="center"/>
          </w:tcPr>
          <w:p w14:paraId="4E0AED38" w14:textId="77777777" w:rsidR="00AD633C" w:rsidRPr="007350EE" w:rsidRDefault="00AD633C" w:rsidP="008A5D63">
            <w:pPr>
              <w:rPr>
                <w:rFonts w:cstheme="minorHAnsi"/>
              </w:rPr>
            </w:pPr>
            <w:r w:rsidRPr="007350EE">
              <w:rPr>
                <w:rFonts w:cstheme="minorHAnsi"/>
              </w:rPr>
              <w:t>Değerler</w:t>
            </w:r>
          </w:p>
        </w:tc>
        <w:tc>
          <w:tcPr>
            <w:tcW w:w="7433" w:type="dxa"/>
            <w:vAlign w:val="center"/>
          </w:tcPr>
          <w:p w14:paraId="143B4F8B" w14:textId="77777777" w:rsidR="00AD633C" w:rsidRPr="009568B8" w:rsidRDefault="00AD633C" w:rsidP="008A5D63">
            <w:r w:rsidRPr="009568B8">
              <w:t>D1. Adalet, D3. Çalışkanlık, D16. Sorumluluk, D17. Tasarruf, D19. Vatanseverlik</w:t>
            </w:r>
          </w:p>
        </w:tc>
      </w:tr>
      <w:tr w:rsidR="00AD633C" w:rsidRPr="007350EE" w14:paraId="4624956E" w14:textId="77777777" w:rsidTr="008A5D63">
        <w:trPr>
          <w:trHeight w:val="350"/>
        </w:trPr>
        <w:tc>
          <w:tcPr>
            <w:tcW w:w="2405" w:type="dxa"/>
            <w:shd w:val="clear" w:color="auto" w:fill="FFFFFF" w:themeFill="background1"/>
            <w:vAlign w:val="center"/>
          </w:tcPr>
          <w:p w14:paraId="0ECC82EF" w14:textId="77777777" w:rsidR="00AD633C" w:rsidRPr="007350EE" w:rsidRDefault="00AD633C" w:rsidP="008A5D63">
            <w:pPr>
              <w:rPr>
                <w:rFonts w:cstheme="minorHAnsi"/>
              </w:rPr>
            </w:pPr>
            <w:r w:rsidRPr="007350EE">
              <w:rPr>
                <w:rFonts w:cstheme="minorHAnsi"/>
              </w:rPr>
              <w:t>Okuryazarlık Becerileri</w:t>
            </w:r>
          </w:p>
        </w:tc>
        <w:tc>
          <w:tcPr>
            <w:tcW w:w="7433" w:type="dxa"/>
            <w:vAlign w:val="center"/>
          </w:tcPr>
          <w:p w14:paraId="56C7B2D6" w14:textId="77777777" w:rsidR="00AD633C" w:rsidRPr="009568B8" w:rsidRDefault="00AD633C" w:rsidP="008A5D63">
            <w:r w:rsidRPr="009568B8">
              <w:t>OB1. Bilgi Okuryazarlığı, OB2. Dijital Okuryazarlık, OB3. Finansal Okuryazarlık, OB4. Görsel Okuryazarlık, OB7. Veri Okuryazarlığı</w:t>
            </w:r>
          </w:p>
        </w:tc>
      </w:tr>
      <w:tr w:rsidR="00AD633C" w:rsidRPr="007350EE" w14:paraId="08F6EF1C" w14:textId="77777777" w:rsidTr="008A5D63">
        <w:trPr>
          <w:trHeight w:val="300"/>
        </w:trPr>
        <w:tc>
          <w:tcPr>
            <w:tcW w:w="2405" w:type="dxa"/>
            <w:shd w:val="clear" w:color="auto" w:fill="FFFFFF" w:themeFill="background1"/>
            <w:vAlign w:val="center"/>
          </w:tcPr>
          <w:p w14:paraId="04858710" w14:textId="77777777" w:rsidR="00AD633C" w:rsidRPr="007350EE" w:rsidRDefault="00AD633C" w:rsidP="008A5D63">
            <w:pPr>
              <w:rPr>
                <w:rFonts w:cstheme="minorHAnsi"/>
              </w:rPr>
            </w:pPr>
            <w:r w:rsidRPr="007350EE">
              <w:rPr>
                <w:rFonts w:cstheme="minorHAnsi"/>
              </w:rPr>
              <w:t>Disiplinler Arası İlişkiler</w:t>
            </w:r>
          </w:p>
        </w:tc>
        <w:tc>
          <w:tcPr>
            <w:tcW w:w="7433" w:type="dxa"/>
            <w:vAlign w:val="center"/>
          </w:tcPr>
          <w:p w14:paraId="119B2C15" w14:textId="77777777" w:rsidR="00AD633C" w:rsidRPr="009568B8" w:rsidRDefault="00AD633C" w:rsidP="008A5D63">
            <w:r w:rsidRPr="009568B8">
              <w:t>Görsel Sanatlar, Fen Bilimleri, Beden Eğitimi ve Oyun, Serbest Etkinlikler</w:t>
            </w:r>
          </w:p>
        </w:tc>
      </w:tr>
      <w:tr w:rsidR="00AD633C" w:rsidRPr="007350EE" w14:paraId="3B2E337D" w14:textId="77777777" w:rsidTr="008A5D63">
        <w:trPr>
          <w:trHeight w:val="402"/>
        </w:trPr>
        <w:tc>
          <w:tcPr>
            <w:tcW w:w="2405" w:type="dxa"/>
            <w:shd w:val="clear" w:color="auto" w:fill="FFFFFF" w:themeFill="background1"/>
            <w:vAlign w:val="center"/>
          </w:tcPr>
          <w:p w14:paraId="043FB19C" w14:textId="77777777" w:rsidR="00AD633C" w:rsidRPr="007350EE" w:rsidRDefault="00AD633C" w:rsidP="008A5D63">
            <w:pPr>
              <w:rPr>
                <w:rFonts w:cstheme="minorHAnsi"/>
              </w:rPr>
            </w:pPr>
            <w:r w:rsidRPr="007350EE">
              <w:rPr>
                <w:rFonts w:cstheme="minorHAnsi"/>
              </w:rPr>
              <w:t>Beceriler Arası İlişkiler</w:t>
            </w:r>
          </w:p>
        </w:tc>
        <w:tc>
          <w:tcPr>
            <w:tcW w:w="7433" w:type="dxa"/>
            <w:vAlign w:val="center"/>
          </w:tcPr>
          <w:p w14:paraId="1A8D5623" w14:textId="77777777" w:rsidR="00AD633C" w:rsidRPr="009568B8" w:rsidRDefault="00AD633C" w:rsidP="008A5D63">
            <w:r w:rsidRPr="009568B8">
              <w:t>MAB3. Matematiksel Temsiller (MAB3.1. Matematiksel Temsillerden Yararlanma), MAB5. Matematiksel Araç ve Teknoloji ile Çalışma (MAB5.1. Matematiksel Araç ve Teknolojiden Yararlanma), KB2.10 Çıkarım Yapma, KB2.14 Yorumlama, KB2.17 Değerlendirme</w:t>
            </w:r>
          </w:p>
        </w:tc>
      </w:tr>
      <w:tr w:rsidR="00AD633C" w:rsidRPr="007350EE" w14:paraId="293B3D8E" w14:textId="77777777" w:rsidTr="008A5D63">
        <w:trPr>
          <w:trHeight w:val="472"/>
        </w:trPr>
        <w:tc>
          <w:tcPr>
            <w:tcW w:w="2405" w:type="dxa"/>
            <w:shd w:val="clear" w:color="auto" w:fill="FFFFFF" w:themeFill="background1"/>
            <w:vAlign w:val="center"/>
          </w:tcPr>
          <w:p w14:paraId="767A13C7" w14:textId="77777777" w:rsidR="00AD633C" w:rsidRPr="007350EE" w:rsidRDefault="00AD633C" w:rsidP="008A5D63">
            <w:pPr>
              <w:rPr>
                <w:rFonts w:cstheme="minorHAnsi"/>
              </w:rPr>
            </w:pPr>
            <w:r w:rsidRPr="007350EE">
              <w:rPr>
                <w:rFonts w:cstheme="minorHAnsi"/>
              </w:rPr>
              <w:t>Öğrenme Çıktıları ve Süreç Bileşenleri</w:t>
            </w:r>
          </w:p>
        </w:tc>
        <w:tc>
          <w:tcPr>
            <w:tcW w:w="7433" w:type="dxa"/>
            <w:vAlign w:val="center"/>
          </w:tcPr>
          <w:p w14:paraId="4455C389" w14:textId="784249AE" w:rsidR="00AD633C" w:rsidRPr="00DB4E03" w:rsidRDefault="00DB4E03" w:rsidP="00DB4E03">
            <w:r w:rsidRPr="00DB4E03">
              <w:t>MAT.2.1.8. Paraları değerlerine göre ilişkilendirerek çözümleyebilme</w:t>
            </w:r>
            <w:r w:rsidRPr="00DB4E03">
              <w:br/>
              <w:t>a) Paraları değerlerine göre inceleyerek madenî paraları belirler.</w:t>
            </w:r>
            <w:r w:rsidRPr="00DB4E03">
              <w:br/>
              <w:t>b) </w:t>
            </w:r>
            <w:proofErr w:type="gramStart"/>
            <w:r w:rsidRPr="00DB4E03">
              <w:t>Kuruş</w:t>
            </w:r>
            <w:proofErr w:type="gramEnd"/>
            <w:r w:rsidRPr="00DB4E03">
              <w:t xml:space="preserve"> ve Türk lirası arasındaki ilişkileri belirler.</w:t>
            </w:r>
          </w:p>
        </w:tc>
      </w:tr>
      <w:tr w:rsidR="00AD633C" w:rsidRPr="007350EE" w14:paraId="3ACFE408" w14:textId="77777777" w:rsidTr="008A5D63">
        <w:trPr>
          <w:trHeight w:val="376"/>
        </w:trPr>
        <w:tc>
          <w:tcPr>
            <w:tcW w:w="2405" w:type="dxa"/>
            <w:shd w:val="clear" w:color="auto" w:fill="FFFFFF" w:themeFill="background1"/>
            <w:vAlign w:val="center"/>
          </w:tcPr>
          <w:p w14:paraId="60B541CE" w14:textId="77777777" w:rsidR="00AD633C" w:rsidRPr="007350EE" w:rsidRDefault="00AD633C" w:rsidP="008A5D63">
            <w:pPr>
              <w:rPr>
                <w:rFonts w:cstheme="minorHAnsi"/>
              </w:rPr>
            </w:pPr>
            <w:r w:rsidRPr="007350EE">
              <w:rPr>
                <w:rFonts w:cstheme="minorHAnsi"/>
              </w:rPr>
              <w:t>İçerik Çerçevesi</w:t>
            </w:r>
          </w:p>
        </w:tc>
        <w:tc>
          <w:tcPr>
            <w:tcW w:w="7433" w:type="dxa"/>
            <w:vAlign w:val="center"/>
          </w:tcPr>
          <w:p w14:paraId="24AA7825" w14:textId="1EEF3CF2" w:rsidR="00AD633C" w:rsidRPr="007350EE" w:rsidRDefault="00DB4E03" w:rsidP="008A5D63">
            <w:pPr>
              <w:rPr>
                <w:rFonts w:cstheme="minorHAnsi"/>
              </w:rPr>
            </w:pPr>
            <w:r>
              <w:rPr>
                <w:rFonts w:cstheme="minorHAnsi"/>
              </w:rPr>
              <w:t>Paralarımız</w:t>
            </w:r>
          </w:p>
        </w:tc>
      </w:tr>
      <w:tr w:rsidR="00AD633C" w:rsidRPr="007350EE" w14:paraId="0FCF949F" w14:textId="77777777" w:rsidTr="008A5D63">
        <w:trPr>
          <w:trHeight w:val="472"/>
        </w:trPr>
        <w:tc>
          <w:tcPr>
            <w:tcW w:w="2405" w:type="dxa"/>
            <w:shd w:val="clear" w:color="auto" w:fill="FFFFFF" w:themeFill="background1"/>
            <w:vAlign w:val="center"/>
          </w:tcPr>
          <w:p w14:paraId="546BD069" w14:textId="77777777" w:rsidR="00AD633C" w:rsidRPr="007350EE" w:rsidRDefault="00AD633C" w:rsidP="008A5D63">
            <w:pPr>
              <w:rPr>
                <w:rFonts w:cstheme="minorHAnsi"/>
              </w:rPr>
            </w:pPr>
            <w:r w:rsidRPr="007350EE">
              <w:rPr>
                <w:rFonts w:cstheme="minorHAnsi"/>
              </w:rPr>
              <w:t>Anahtar Kavramlar</w:t>
            </w:r>
          </w:p>
        </w:tc>
        <w:tc>
          <w:tcPr>
            <w:tcW w:w="7433" w:type="dxa"/>
            <w:vAlign w:val="center"/>
          </w:tcPr>
          <w:p w14:paraId="47272D40" w14:textId="77777777" w:rsidR="00AD633C" w:rsidRPr="009568B8" w:rsidRDefault="00AD633C" w:rsidP="008A5D63">
            <w:pPr>
              <w:pStyle w:val="AralkYok"/>
            </w:pPr>
            <w:r w:rsidRPr="009568B8">
              <w:t>Genellemeler</w:t>
            </w:r>
          </w:p>
          <w:p w14:paraId="44FFD9AD" w14:textId="77777777" w:rsidR="00AD633C" w:rsidRPr="009568B8" w:rsidRDefault="00AD633C" w:rsidP="008A5D63">
            <w:pPr>
              <w:pStyle w:val="AralkYok"/>
            </w:pPr>
            <w:r w:rsidRPr="009568B8">
              <w:t>  • Para, ekonomik ilişkilerde kullanılan bir değişim aracıdır.</w:t>
            </w:r>
          </w:p>
          <w:p w14:paraId="264E8B21" w14:textId="77777777" w:rsidR="00AD633C" w:rsidRPr="009568B8" w:rsidRDefault="00AD633C" w:rsidP="008A5D63">
            <w:pPr>
              <w:pStyle w:val="AralkYok"/>
            </w:pPr>
            <w:r w:rsidRPr="009568B8">
              <w:t>  • Saatler, zamanı ölçmek için kullanılan araçlardır. • </w:t>
            </w:r>
            <w:r w:rsidRPr="009568B8">
              <w:t> </w:t>
            </w:r>
            <w:r w:rsidRPr="009568B8">
              <w:t>Karşılaştırma ve hesaplama yaparken aynı birimler kullanılır.</w:t>
            </w:r>
          </w:p>
          <w:p w14:paraId="2E3C3D31" w14:textId="77777777" w:rsidR="00AD633C" w:rsidRPr="009568B8" w:rsidRDefault="00AD633C" w:rsidP="008A5D63">
            <w:pPr>
              <w:pStyle w:val="AralkYok"/>
            </w:pPr>
            <w:r w:rsidRPr="009568B8">
              <w:t>Anahtar kavramlar</w:t>
            </w:r>
          </w:p>
          <w:p w14:paraId="58045039" w14:textId="77777777" w:rsidR="00AD633C" w:rsidRPr="009568B8" w:rsidRDefault="00AD633C" w:rsidP="008A5D63">
            <w:pPr>
              <w:pStyle w:val="AralkYok"/>
            </w:pPr>
            <w:r w:rsidRPr="009568B8">
              <w:t>  • bütün, yarım, çeyrek, kuruş, saat, dakika, zaman, ölçüm, gün, hafta, ay, mevsim, yıl, kilogram, gram, metre, santimetre</w:t>
            </w:r>
          </w:p>
          <w:p w14:paraId="3886893A" w14:textId="77777777" w:rsidR="00AD633C" w:rsidRPr="009568B8" w:rsidRDefault="00AD633C" w:rsidP="008A5D63">
            <w:pPr>
              <w:pStyle w:val="AralkYok"/>
            </w:pPr>
            <w:r w:rsidRPr="009568B8">
              <w:t>Sembol ve Gösterimler</w:t>
            </w:r>
          </w:p>
          <w:p w14:paraId="1C4B4CD7" w14:textId="77777777" w:rsidR="00AD633C" w:rsidRPr="009568B8" w:rsidRDefault="00AD633C" w:rsidP="008A5D63">
            <w:pPr>
              <w:pStyle w:val="AralkYok"/>
            </w:pPr>
            <w:r w:rsidRPr="009568B8">
              <w:t xml:space="preserve">  • </w:t>
            </w:r>
            <w:proofErr w:type="spellStart"/>
            <w:r w:rsidRPr="009568B8">
              <w:t>kr</w:t>
            </w:r>
            <w:proofErr w:type="spellEnd"/>
            <w:r w:rsidRPr="009568B8">
              <w:t>., kg, g, m, cm, dk.</w:t>
            </w:r>
          </w:p>
        </w:tc>
      </w:tr>
      <w:tr w:rsidR="00AD633C" w:rsidRPr="007350EE" w14:paraId="40D4CCCB" w14:textId="77777777" w:rsidTr="008A5D63">
        <w:trPr>
          <w:trHeight w:val="499"/>
        </w:trPr>
        <w:tc>
          <w:tcPr>
            <w:tcW w:w="2405" w:type="dxa"/>
            <w:shd w:val="clear" w:color="auto" w:fill="FFFFFF" w:themeFill="background1"/>
            <w:vAlign w:val="center"/>
          </w:tcPr>
          <w:p w14:paraId="29855A4D" w14:textId="77777777" w:rsidR="00AD633C" w:rsidRPr="007350EE" w:rsidRDefault="00AD633C" w:rsidP="008A5D63">
            <w:pPr>
              <w:rPr>
                <w:rFonts w:cstheme="minorHAnsi"/>
              </w:rPr>
            </w:pPr>
            <w:r w:rsidRPr="007350EE">
              <w:rPr>
                <w:rFonts w:cstheme="minorHAnsi"/>
              </w:rPr>
              <w:t>Öğrenme Kanıtları (Ölçme ve Değerlendirme)</w:t>
            </w:r>
          </w:p>
        </w:tc>
        <w:tc>
          <w:tcPr>
            <w:tcW w:w="7433" w:type="dxa"/>
            <w:vAlign w:val="center"/>
          </w:tcPr>
          <w:p w14:paraId="7BE5FAD6" w14:textId="77777777" w:rsidR="00AD633C" w:rsidRPr="009568B8" w:rsidRDefault="00AD633C" w:rsidP="008A5D63">
            <w:pPr>
              <w:pStyle w:val="ListeParagraf"/>
              <w:numPr>
                <w:ilvl w:val="0"/>
                <w:numId w:val="12"/>
              </w:numPr>
              <w:rPr>
                <w:rFonts w:cstheme="minorHAnsi"/>
              </w:rPr>
            </w:pPr>
            <w:r>
              <w:rPr>
                <w:rFonts w:cstheme="minorHAnsi"/>
              </w:rPr>
              <w:t>Süreç Değerlendirme Formu</w:t>
            </w:r>
          </w:p>
        </w:tc>
      </w:tr>
      <w:tr w:rsidR="00AD633C" w:rsidRPr="007350EE" w14:paraId="19DB1F69" w14:textId="77777777" w:rsidTr="008A5D63">
        <w:trPr>
          <w:trHeight w:val="256"/>
        </w:trPr>
        <w:tc>
          <w:tcPr>
            <w:tcW w:w="9838" w:type="dxa"/>
            <w:gridSpan w:val="2"/>
            <w:shd w:val="clear" w:color="auto" w:fill="F7CAAC" w:themeFill="accent2" w:themeFillTint="66"/>
            <w:vAlign w:val="center"/>
          </w:tcPr>
          <w:p w14:paraId="3EC154B3" w14:textId="77777777" w:rsidR="00AD633C" w:rsidRPr="007350EE" w:rsidRDefault="00AD633C" w:rsidP="008A5D63">
            <w:pPr>
              <w:jc w:val="center"/>
              <w:rPr>
                <w:rFonts w:cstheme="minorHAnsi"/>
                <w:b/>
                <w:bCs/>
                <w:color w:val="000000" w:themeColor="text1"/>
              </w:rPr>
            </w:pPr>
            <w:r w:rsidRPr="007350EE">
              <w:rPr>
                <w:rFonts w:cstheme="minorHAnsi"/>
                <w:b/>
                <w:bCs/>
                <w:color w:val="000000" w:themeColor="text1"/>
              </w:rPr>
              <w:t>ÖĞRENME-ÖĞRETME YAŞANTILARI</w:t>
            </w:r>
          </w:p>
        </w:tc>
      </w:tr>
      <w:tr w:rsidR="00AD633C" w:rsidRPr="007350EE" w14:paraId="4427A0B1" w14:textId="77777777" w:rsidTr="008A5D63">
        <w:trPr>
          <w:trHeight w:val="472"/>
        </w:trPr>
        <w:tc>
          <w:tcPr>
            <w:tcW w:w="2405" w:type="dxa"/>
            <w:vAlign w:val="center"/>
          </w:tcPr>
          <w:p w14:paraId="0650C475" w14:textId="77777777" w:rsidR="00AD633C" w:rsidRPr="007350EE" w:rsidRDefault="00AD633C" w:rsidP="008A5D63">
            <w:pPr>
              <w:rPr>
                <w:rFonts w:cstheme="minorHAnsi"/>
              </w:rPr>
            </w:pPr>
            <w:r w:rsidRPr="007350EE">
              <w:rPr>
                <w:rFonts w:cstheme="minorHAnsi"/>
              </w:rPr>
              <w:t>Temel Kabuller</w:t>
            </w:r>
          </w:p>
        </w:tc>
        <w:tc>
          <w:tcPr>
            <w:tcW w:w="7433" w:type="dxa"/>
            <w:vAlign w:val="center"/>
          </w:tcPr>
          <w:p w14:paraId="638D70A7" w14:textId="2E74826F" w:rsidR="00AD633C" w:rsidRPr="00DB4E03" w:rsidRDefault="00DB4E03" w:rsidP="00DB4E03">
            <w:pPr>
              <w:pStyle w:val="ListeParagraf"/>
              <w:numPr>
                <w:ilvl w:val="0"/>
                <w:numId w:val="12"/>
              </w:numPr>
            </w:pPr>
            <w:r w:rsidRPr="00DB4E03">
              <w:t>Öğrencilerin paranın bir değişim aracı olduğunu öğrendikleri, her paranın farklı bir değere ve alım gücüne sahip olduğunu bildikleri kabul edilmektedir. </w:t>
            </w:r>
          </w:p>
        </w:tc>
      </w:tr>
      <w:tr w:rsidR="00AD633C" w:rsidRPr="007350EE" w14:paraId="0F6249F1" w14:textId="77777777" w:rsidTr="008A5D63">
        <w:trPr>
          <w:trHeight w:val="499"/>
        </w:trPr>
        <w:tc>
          <w:tcPr>
            <w:tcW w:w="2405" w:type="dxa"/>
            <w:vAlign w:val="center"/>
          </w:tcPr>
          <w:p w14:paraId="3F4C80F7" w14:textId="77777777" w:rsidR="00AD633C" w:rsidRPr="007350EE" w:rsidRDefault="00AD633C" w:rsidP="008A5D63">
            <w:pPr>
              <w:rPr>
                <w:rFonts w:cstheme="minorHAnsi"/>
              </w:rPr>
            </w:pPr>
            <w:r w:rsidRPr="007350EE">
              <w:rPr>
                <w:rFonts w:cstheme="minorHAnsi"/>
              </w:rPr>
              <w:t>Ön Değerlendirme Süreci</w:t>
            </w:r>
          </w:p>
        </w:tc>
        <w:tc>
          <w:tcPr>
            <w:tcW w:w="7433" w:type="dxa"/>
            <w:vAlign w:val="center"/>
          </w:tcPr>
          <w:p w14:paraId="74FC5553" w14:textId="597BC7B9" w:rsidR="00AD633C" w:rsidRPr="00DB4E03" w:rsidRDefault="00DB4E03" w:rsidP="00DB4E03">
            <w:pPr>
              <w:pStyle w:val="ListeParagraf"/>
              <w:numPr>
                <w:ilvl w:val="0"/>
                <w:numId w:val="12"/>
              </w:numPr>
            </w:pPr>
            <w:r w:rsidRPr="00DB4E03">
              <w:t>Görselleri verilen paralar dağıtılıp (1, 5, 10, 20, 50, 100, 200 TL) öğrencilerden paraların değerlerini okumaları istenerek bu paraları değerlerine göre küçükten büyüğe ya da büyükten küçüğe doğru sıralamaları istenir. </w:t>
            </w:r>
          </w:p>
        </w:tc>
      </w:tr>
      <w:tr w:rsidR="00AD633C" w:rsidRPr="007350EE" w14:paraId="366E3A84" w14:textId="77777777" w:rsidTr="008A5D63">
        <w:trPr>
          <w:trHeight w:val="472"/>
        </w:trPr>
        <w:tc>
          <w:tcPr>
            <w:tcW w:w="2405" w:type="dxa"/>
            <w:vAlign w:val="center"/>
          </w:tcPr>
          <w:p w14:paraId="48BB4E89" w14:textId="77777777" w:rsidR="00AD633C" w:rsidRPr="007350EE" w:rsidRDefault="00AD633C" w:rsidP="008A5D63">
            <w:pPr>
              <w:rPr>
                <w:rFonts w:cstheme="minorHAnsi"/>
              </w:rPr>
            </w:pPr>
            <w:r w:rsidRPr="007350EE">
              <w:rPr>
                <w:rFonts w:cstheme="minorHAnsi"/>
              </w:rPr>
              <w:t>Köprü Kurma</w:t>
            </w:r>
          </w:p>
        </w:tc>
        <w:tc>
          <w:tcPr>
            <w:tcW w:w="7433" w:type="dxa"/>
            <w:vAlign w:val="center"/>
          </w:tcPr>
          <w:p w14:paraId="58DE162F" w14:textId="77777777" w:rsidR="00DB4E03" w:rsidRPr="00DB4E03" w:rsidRDefault="00DB4E03" w:rsidP="00DB4E03">
            <w:pPr>
              <w:pStyle w:val="ListeParagraf"/>
              <w:numPr>
                <w:ilvl w:val="0"/>
                <w:numId w:val="12"/>
              </w:numPr>
            </w:pPr>
            <w:r w:rsidRPr="00DB4E03">
              <w:t>Öğrencilerin 1. sınıfta öğrendikleri paranın bir değişim birimi olduğu bilgisine vurgu yapılır. Günlük yaşamda paranın sıklıkla kullanımı ve kullanım alanları hakkında görüşlerini ifade etmeleri sağlanır. Öğrencilerin görüşleri alınarak para kullanımının günlük yaşamı sürdürmenin önemli unsurlarından biri olduğu vurgulanır ve bunun anlaşılması için günlük yaşamda hangi durumlarda paraların kullanıldığına ilişkin sorular yöneltilir.</w:t>
            </w:r>
          </w:p>
          <w:p w14:paraId="7F72FB24" w14:textId="77777777" w:rsidR="00AD633C" w:rsidRDefault="00DB4E03" w:rsidP="00DB4E03">
            <w:pPr>
              <w:pStyle w:val="ListeParagraf"/>
              <w:numPr>
                <w:ilvl w:val="0"/>
                <w:numId w:val="12"/>
              </w:numPr>
            </w:pPr>
            <w:r w:rsidRPr="00DB4E03">
              <w:t>Öğrencilerden karışık olarak verilen paralardan öncelikle herhangi birini seçmesi istenir. Seçtikleri para değerlerini okuyarak seçeceği sonraki paralarla karşılaştırmaları ve sıralamaları istenir.</w:t>
            </w:r>
          </w:p>
          <w:p w14:paraId="0F010D77" w14:textId="179937B2" w:rsidR="00DB4E03" w:rsidRPr="00DB4E03" w:rsidRDefault="00DB4E03" w:rsidP="00DB4E03">
            <w:pPr>
              <w:ind w:left="360"/>
            </w:pPr>
          </w:p>
        </w:tc>
      </w:tr>
      <w:tr w:rsidR="00AD633C" w:rsidRPr="007350EE" w14:paraId="427C5CC2" w14:textId="77777777" w:rsidTr="008A5D63">
        <w:trPr>
          <w:trHeight w:val="499"/>
        </w:trPr>
        <w:tc>
          <w:tcPr>
            <w:tcW w:w="2405" w:type="dxa"/>
            <w:vAlign w:val="center"/>
          </w:tcPr>
          <w:p w14:paraId="3DC79AD7" w14:textId="77777777" w:rsidR="00AD633C" w:rsidRPr="007350EE" w:rsidRDefault="00AD633C" w:rsidP="008A5D63">
            <w:pPr>
              <w:rPr>
                <w:rFonts w:cstheme="minorHAnsi"/>
              </w:rPr>
            </w:pPr>
            <w:r w:rsidRPr="007350EE">
              <w:rPr>
                <w:rFonts w:cstheme="minorHAnsi"/>
              </w:rPr>
              <w:lastRenderedPageBreak/>
              <w:t>Öğrenme-Öğretme Uygulamaları</w:t>
            </w:r>
          </w:p>
        </w:tc>
        <w:tc>
          <w:tcPr>
            <w:tcW w:w="7433" w:type="dxa"/>
            <w:vAlign w:val="center"/>
          </w:tcPr>
          <w:p w14:paraId="4E3A808A" w14:textId="77777777" w:rsidR="00DB4E03" w:rsidRPr="00DB4E03" w:rsidRDefault="00DB4E03" w:rsidP="00DB4E03">
            <w:pPr>
              <w:pStyle w:val="ListeParagraf"/>
              <w:numPr>
                <w:ilvl w:val="0"/>
                <w:numId w:val="12"/>
              </w:numPr>
            </w:pPr>
            <w:r w:rsidRPr="00DB4E03">
              <w:t>Öğrencilere paraların benzer veya farklı özelliklerinin fark edilmesi için sorular yöneltilir. Öğrencilerin paraları karşılaştırmalarına yönelik birbirlerine soru sormaları için bir etkinlik düzenlenir (</w:t>
            </w:r>
            <w:hyperlink r:id="rId7" w:history="1">
              <w:r w:rsidRPr="00DB4E03">
                <w:rPr>
                  <w:rStyle w:val="Kpr"/>
                </w:rPr>
                <w:t>E3.8</w:t>
              </w:r>
            </w:hyperlink>
            <w:r w:rsidRPr="00DB4E03">
              <w:t>, </w:t>
            </w:r>
            <w:hyperlink r:id="rId8" w:history="1">
              <w:r w:rsidRPr="00DB4E03">
                <w:rPr>
                  <w:rStyle w:val="Kpr"/>
                </w:rPr>
                <w:t>SDB2.1</w:t>
              </w:r>
            </w:hyperlink>
            <w:r w:rsidRPr="00DB4E03">
              <w:t>). Bu etkinlik ile hem kâğıt paralar hem de kâğıt para ile madenî paraların birbirlerinden farkı hissettirilmeye çalışılır. Paralarımızın üzerinde yer alan kurucu liderimiz ve ülkemizin tarihinde önemli izler bırakan değerli şahsiyetlerin öğrenciler tarafından araştırılması istenir. Araştırma sonucunda ülkemiz tarihine sağladıkları katkılar sınıfta sunularak fikir alışverişi yapmaları sağlanır (</w:t>
            </w:r>
            <w:hyperlink r:id="rId9" w:history="1">
              <w:r w:rsidRPr="00DB4E03">
                <w:rPr>
                  <w:rStyle w:val="Kpr"/>
                </w:rPr>
                <w:t>D3.3</w:t>
              </w:r>
            </w:hyperlink>
            <w:r w:rsidRPr="00DB4E03">
              <w:t>, </w:t>
            </w:r>
            <w:hyperlink r:id="rId10" w:history="1">
              <w:r w:rsidRPr="00DB4E03">
                <w:rPr>
                  <w:rStyle w:val="Kpr"/>
                </w:rPr>
                <w:t>D19.2</w:t>
              </w:r>
            </w:hyperlink>
            <w:r w:rsidRPr="00DB4E03">
              <w:t>).</w:t>
            </w:r>
          </w:p>
          <w:p w14:paraId="356210AA" w14:textId="77777777" w:rsidR="00DB4E03" w:rsidRPr="00DB4E03" w:rsidRDefault="00DB4E03" w:rsidP="00DB4E03">
            <w:pPr>
              <w:pStyle w:val="ListeParagraf"/>
              <w:numPr>
                <w:ilvl w:val="0"/>
                <w:numId w:val="12"/>
              </w:numPr>
            </w:pPr>
            <w:r w:rsidRPr="00DB4E03">
              <w:t xml:space="preserve">Öğrencilerin günlük yaşamda karşılaşılan durumları deneyimlemeleri için alışveriş istasyonu oluşturulur ve buradaki ürünlerin kuruşlu fiyatları </w:t>
            </w:r>
            <w:proofErr w:type="gramStart"/>
            <w:r w:rsidRPr="00DB4E03">
              <w:t>ile birlikte</w:t>
            </w:r>
            <w:proofErr w:type="gramEnd"/>
            <w:r w:rsidRPr="00DB4E03">
              <w:t xml:space="preserve"> gösterilip kendilerine temsilen verilen kâğıt ve madenî paralarla alınabilecek ürünleri sıralamaları istenir (</w:t>
            </w:r>
            <w:hyperlink r:id="rId11" w:history="1">
              <w:r w:rsidRPr="00DB4E03">
                <w:rPr>
                  <w:rStyle w:val="Kpr"/>
                </w:rPr>
                <w:t>SDB2.2</w:t>
              </w:r>
            </w:hyperlink>
            <w:r w:rsidRPr="00DB4E03">
              <w:t>, </w:t>
            </w:r>
            <w:hyperlink r:id="rId12" w:history="1">
              <w:r w:rsidRPr="00DB4E03">
                <w:rPr>
                  <w:rStyle w:val="Kpr"/>
                </w:rPr>
                <w:t>OB3</w:t>
              </w:r>
            </w:hyperlink>
            <w:r w:rsidRPr="00DB4E03">
              <w:t>). Sonrasında öğrenciye ihtiyaç duyulan (yiyecek malzemesi, kitap, kırtasiye malzemesi, giysiler vb.) ve ihtiyaç duyulmayan (sağlığa zararlı yiyecekler, oyuncak araba gibi) ürünlerin fiyatı belirtilerek bu ürünleri alabilmek için ihtiyacı olduğu kadar parayı seçip almasını ve elinde olan parayla kendi ihtiyaçlarını gidereceği ürünleri seçmesi sağlanır (</w:t>
            </w:r>
            <w:hyperlink r:id="rId13" w:history="1">
              <w:r w:rsidRPr="00DB4E03">
                <w:rPr>
                  <w:rStyle w:val="Kpr"/>
                </w:rPr>
                <w:t>SDB3.3</w:t>
              </w:r>
            </w:hyperlink>
            <w:r w:rsidRPr="00DB4E03">
              <w:t>, </w:t>
            </w:r>
            <w:hyperlink r:id="rId14" w:history="1">
              <w:r w:rsidRPr="00DB4E03">
                <w:rPr>
                  <w:rStyle w:val="Kpr"/>
                </w:rPr>
                <w:t>D17.1</w:t>
              </w:r>
            </w:hyperlink>
            <w:r w:rsidRPr="00DB4E03">
              <w:t>). Kendilerine verilen temsilî paralarla ürün alabildiklerini gören öğrencilerle günlük yaşamlarında ihtiyaç duyulan ürünleri almanın önemi üzerinde tartışılır ve tasarruflu olma konusunda öğrencilere açık uçlu sorular sorulabilir (</w:t>
            </w:r>
            <w:hyperlink r:id="rId15" w:history="1">
              <w:r w:rsidRPr="00DB4E03">
                <w:rPr>
                  <w:rStyle w:val="Kpr"/>
                </w:rPr>
                <w:t>D17.2</w:t>
              </w:r>
            </w:hyperlink>
            <w:r w:rsidRPr="00DB4E03">
              <w:t>). </w:t>
            </w:r>
          </w:p>
          <w:p w14:paraId="0E261E21" w14:textId="77777777" w:rsidR="00DB4E03" w:rsidRPr="00DB4E03" w:rsidRDefault="00DB4E03" w:rsidP="00DB4E03">
            <w:pPr>
              <w:pStyle w:val="ListeParagraf"/>
              <w:numPr>
                <w:ilvl w:val="0"/>
                <w:numId w:val="12"/>
              </w:numPr>
            </w:pPr>
            <w:r w:rsidRPr="00DB4E03">
              <w:t>Öğrencilere iki tane 25 kuruşun 50 kuruşa, dört tane 25 kuruş veya iki tane 50 kuruşun 1 TL’ye eşit olduğunun keşfedilmesi sağlanarak kesirlerdeki bütün, yarım ve çeyrek ile ilişkilendirmeye vurgu yapılır. Madenî paralarla (1 TL, 50 kuruş ve 25 kuruş) doldurulan bir kutudan veya kumbaradan rastgele birkaç adet para almaları ve bunların toplam değerini söylemeleri istenir (</w:t>
            </w:r>
            <w:hyperlink r:id="rId16" w:history="1">
              <w:r w:rsidRPr="00DB4E03">
                <w:rPr>
                  <w:rStyle w:val="Kpr"/>
                </w:rPr>
                <w:t>KB2.14</w:t>
              </w:r>
            </w:hyperlink>
            <w:r w:rsidRPr="00DB4E03">
              <w:t>). Öğrencinin istek ve ihtiyaçlarına yönelik alabileceği ürünlerin değeri kadar parayı seçip alması sağlanır.</w:t>
            </w:r>
          </w:p>
          <w:p w14:paraId="713AD8AB" w14:textId="0E52EF79" w:rsidR="00AD633C" w:rsidRPr="00DB4E03" w:rsidRDefault="00AD633C" w:rsidP="00DB4E03">
            <w:pPr>
              <w:pStyle w:val="ListeParagraf"/>
              <w:numPr>
                <w:ilvl w:val="0"/>
                <w:numId w:val="12"/>
              </w:numPr>
            </w:pPr>
            <w:r w:rsidRPr="00DB4E03">
              <w:t xml:space="preserve">Ders kitabı sayfa </w:t>
            </w:r>
            <w:r w:rsidR="00DB4E03">
              <w:t>6</w:t>
            </w:r>
            <w:r w:rsidRPr="00DB4E03">
              <w:t>6’daki “Hatırlayalım” etkinliği yapılır.</w:t>
            </w:r>
          </w:p>
          <w:p w14:paraId="7997030A" w14:textId="79B915E0" w:rsidR="00AD633C" w:rsidRPr="00DB4E03" w:rsidRDefault="00AD633C" w:rsidP="00DB4E03">
            <w:pPr>
              <w:pStyle w:val="ListeParagraf"/>
              <w:numPr>
                <w:ilvl w:val="0"/>
                <w:numId w:val="12"/>
              </w:numPr>
            </w:pPr>
            <w:r w:rsidRPr="00DB4E03">
              <w:t xml:space="preserve">Ders kitabı sayfa </w:t>
            </w:r>
            <w:r w:rsidR="00DB4E03">
              <w:t>6</w:t>
            </w:r>
            <w:r w:rsidRPr="00DB4E03">
              <w:t>7</w:t>
            </w:r>
            <w:r w:rsidR="00DB4E03">
              <w:t>, 68</w:t>
            </w:r>
            <w:r w:rsidRPr="00DB4E03">
              <w:t xml:space="preserve"> ve </w:t>
            </w:r>
            <w:r w:rsidR="00DB4E03">
              <w:t>69</w:t>
            </w:r>
            <w:r w:rsidRPr="00DB4E03">
              <w:t>’d</w:t>
            </w:r>
            <w:r w:rsidR="00DB4E03">
              <w:t>a</w:t>
            </w:r>
            <w:r w:rsidRPr="00DB4E03">
              <w:t>ki “Hazır Mısın?” etkinliği yapılır.</w:t>
            </w:r>
          </w:p>
          <w:p w14:paraId="315C9EA1" w14:textId="3841E6DB" w:rsidR="00AD633C" w:rsidRPr="00DB4E03" w:rsidRDefault="00AD633C" w:rsidP="00DB4E03">
            <w:pPr>
              <w:pStyle w:val="ListeParagraf"/>
              <w:numPr>
                <w:ilvl w:val="0"/>
                <w:numId w:val="12"/>
              </w:numPr>
            </w:pPr>
            <w:r w:rsidRPr="00DB4E03">
              <w:t xml:space="preserve">Ders kitabı </w:t>
            </w:r>
            <w:r w:rsidR="00DB4E03">
              <w:t>70, 71, 72</w:t>
            </w:r>
            <w:r w:rsidRPr="00DB4E03">
              <w:t xml:space="preserve"> ve </w:t>
            </w:r>
            <w:r w:rsidR="00DB4E03">
              <w:t>73</w:t>
            </w:r>
            <w:r w:rsidRPr="00DB4E03">
              <w:t>’</w:t>
            </w:r>
            <w:r w:rsidR="00DB4E03">
              <w:t>te</w:t>
            </w:r>
            <w:r w:rsidRPr="00DB4E03">
              <w:t>ki “Başlayalım” etkinliği yapılır.</w:t>
            </w:r>
          </w:p>
          <w:p w14:paraId="493E540A" w14:textId="6870CDCB" w:rsidR="00AD633C" w:rsidRPr="00DB4E03" w:rsidRDefault="00AD633C" w:rsidP="00DB4E03">
            <w:pPr>
              <w:pStyle w:val="ListeParagraf"/>
              <w:numPr>
                <w:ilvl w:val="0"/>
                <w:numId w:val="12"/>
              </w:numPr>
            </w:pPr>
            <w:r w:rsidRPr="00DB4E03">
              <w:t xml:space="preserve">Ders kitabı sayfa </w:t>
            </w:r>
            <w:r w:rsidR="00DB4E03">
              <w:t>74 ve 75</w:t>
            </w:r>
            <w:r w:rsidRPr="00DB4E03">
              <w:t>’</w:t>
            </w:r>
            <w:r w:rsidR="00DB4E03">
              <w:t>t</w:t>
            </w:r>
            <w:r w:rsidRPr="00DB4E03">
              <w:t>eki “Yapalım Öğrenelim” etkinliği yapılır.</w:t>
            </w:r>
          </w:p>
          <w:p w14:paraId="772ADD65" w14:textId="7320B75A" w:rsidR="00AD633C" w:rsidRPr="00DB4E03" w:rsidRDefault="00AD633C" w:rsidP="00DB4E03">
            <w:pPr>
              <w:pStyle w:val="ListeParagraf"/>
              <w:numPr>
                <w:ilvl w:val="0"/>
                <w:numId w:val="12"/>
              </w:numPr>
            </w:pPr>
            <w:r w:rsidRPr="00DB4E03">
              <w:t xml:space="preserve">Ders kitabı sayfa </w:t>
            </w:r>
            <w:r w:rsidR="00DB4E03">
              <w:t>76</w:t>
            </w:r>
            <w:r w:rsidRPr="00DB4E03">
              <w:t xml:space="preserve">, </w:t>
            </w:r>
            <w:r w:rsidR="00DB4E03">
              <w:t xml:space="preserve">77 </w:t>
            </w:r>
            <w:r w:rsidRPr="00DB4E03">
              <w:t xml:space="preserve">ve </w:t>
            </w:r>
            <w:r w:rsidR="00DB4E03">
              <w:t>79</w:t>
            </w:r>
            <w:r w:rsidRPr="00DB4E03">
              <w:t>’</w:t>
            </w:r>
            <w:r w:rsidR="00DB4E03">
              <w:t>da</w:t>
            </w:r>
            <w:r w:rsidRPr="00DB4E03">
              <w:t>ki etkinlikler yapılır.</w:t>
            </w:r>
          </w:p>
        </w:tc>
      </w:tr>
      <w:tr w:rsidR="00AD633C" w:rsidRPr="007350EE" w14:paraId="5A7BA6A1" w14:textId="77777777" w:rsidTr="008A5D63">
        <w:trPr>
          <w:trHeight w:val="346"/>
        </w:trPr>
        <w:tc>
          <w:tcPr>
            <w:tcW w:w="9838" w:type="dxa"/>
            <w:gridSpan w:val="2"/>
            <w:shd w:val="clear" w:color="auto" w:fill="DBDBDB" w:themeFill="accent3" w:themeFillTint="66"/>
            <w:vAlign w:val="center"/>
          </w:tcPr>
          <w:p w14:paraId="37FF5C10" w14:textId="77777777" w:rsidR="00AD633C" w:rsidRPr="007350EE" w:rsidRDefault="00AD633C" w:rsidP="008A5D63">
            <w:pPr>
              <w:jc w:val="center"/>
              <w:rPr>
                <w:rFonts w:cstheme="minorHAnsi"/>
                <w:b/>
                <w:bCs/>
              </w:rPr>
            </w:pPr>
            <w:r w:rsidRPr="007350EE">
              <w:rPr>
                <w:rFonts w:cstheme="minorHAnsi"/>
                <w:b/>
                <w:bCs/>
              </w:rPr>
              <w:t>FARKLILAŞTIRMA</w:t>
            </w:r>
          </w:p>
        </w:tc>
      </w:tr>
      <w:tr w:rsidR="00AD633C" w:rsidRPr="007350EE" w14:paraId="2A5E1047" w14:textId="77777777" w:rsidTr="008A5D63">
        <w:trPr>
          <w:trHeight w:val="499"/>
        </w:trPr>
        <w:tc>
          <w:tcPr>
            <w:tcW w:w="2405" w:type="dxa"/>
            <w:vAlign w:val="center"/>
          </w:tcPr>
          <w:p w14:paraId="54B46001" w14:textId="77777777" w:rsidR="00AD633C" w:rsidRPr="007350EE" w:rsidRDefault="00AD633C" w:rsidP="008A5D63">
            <w:pPr>
              <w:rPr>
                <w:rFonts w:cstheme="minorHAnsi"/>
              </w:rPr>
            </w:pPr>
            <w:r w:rsidRPr="007350EE">
              <w:rPr>
                <w:rFonts w:cstheme="minorHAnsi"/>
              </w:rPr>
              <w:t>Zenginleştirme</w:t>
            </w:r>
          </w:p>
        </w:tc>
        <w:tc>
          <w:tcPr>
            <w:tcW w:w="7433" w:type="dxa"/>
            <w:vAlign w:val="center"/>
          </w:tcPr>
          <w:p w14:paraId="26D3E753" w14:textId="626049B1" w:rsidR="00AD633C" w:rsidRPr="00DB4E03" w:rsidRDefault="00DB4E03" w:rsidP="00DB4E03">
            <w:pPr>
              <w:pStyle w:val="ListeParagraf"/>
              <w:numPr>
                <w:ilvl w:val="0"/>
                <w:numId w:val="23"/>
              </w:numPr>
            </w:pPr>
            <w:r w:rsidRPr="00DB4E03">
              <w:t>“Hangisi daha değerli, iki liralık bir madenî para mı, yoksa 17 tane 10 kuruş mu? İki liraya eşit olması için kaç tane 10 kuruşa ihtiyacınız var? Hangisi daha değerli, 3 adet bir TL’lik madenî para mı, yoksa 9 adet on kuruşluk madenî para mı?” türünden sorular sorulur. Sonrasında kâğıt paraların olduğu görseller dağıtılıp aynı etkinlikler bu paralarla yapılır. Öğrencilere paralar ile ilgili dört işlem problemleri verilip çözmeleri istenir, ardından öğrencilerden problem kurmaları istenir. </w:t>
            </w:r>
          </w:p>
        </w:tc>
      </w:tr>
      <w:tr w:rsidR="00AD633C" w:rsidRPr="007350EE" w14:paraId="08B33149" w14:textId="77777777" w:rsidTr="008A5D63">
        <w:trPr>
          <w:trHeight w:val="902"/>
        </w:trPr>
        <w:tc>
          <w:tcPr>
            <w:tcW w:w="2405" w:type="dxa"/>
            <w:vAlign w:val="center"/>
          </w:tcPr>
          <w:p w14:paraId="75A34550" w14:textId="77777777" w:rsidR="00AD633C" w:rsidRPr="007350EE" w:rsidRDefault="00AD633C" w:rsidP="008A5D63">
            <w:pPr>
              <w:rPr>
                <w:rFonts w:cstheme="minorHAnsi"/>
              </w:rPr>
            </w:pPr>
            <w:r w:rsidRPr="007350EE">
              <w:rPr>
                <w:rFonts w:cstheme="minorHAnsi"/>
              </w:rPr>
              <w:t>Destekleme</w:t>
            </w:r>
          </w:p>
        </w:tc>
        <w:tc>
          <w:tcPr>
            <w:tcW w:w="7433" w:type="dxa"/>
            <w:vAlign w:val="center"/>
          </w:tcPr>
          <w:p w14:paraId="13A6FFE2" w14:textId="63AC51BC" w:rsidR="00AD633C" w:rsidRPr="00DB4E03" w:rsidRDefault="00DB4E03" w:rsidP="00DB4E03">
            <w:pPr>
              <w:pStyle w:val="ListeParagraf"/>
              <w:numPr>
                <w:ilvl w:val="0"/>
                <w:numId w:val="23"/>
              </w:numPr>
            </w:pPr>
            <w:r w:rsidRPr="00DB4E03">
              <w:t>Tek bir para verilip bu parayla kantinden alabileceği ve alamayacağı ürünleri sayması istenir. Öğrencilerden cevaplar geldikçe farklı bir para verilip benzer çalışmalar devam ettirilir. Paranın günlük yaşam ile ilişkisi bağlamında dijital içeriklerle süreç desteklenir. Ayrıca süreçte öğrencilerin çalışma sayfaları üzerinde gruplar hâlinde çalışmasına olanak sağlanır.</w:t>
            </w:r>
          </w:p>
        </w:tc>
      </w:tr>
      <w:tr w:rsidR="00AD633C" w:rsidRPr="007350EE" w14:paraId="379F1992" w14:textId="77777777" w:rsidTr="008A5D63">
        <w:trPr>
          <w:trHeight w:val="274"/>
        </w:trPr>
        <w:tc>
          <w:tcPr>
            <w:tcW w:w="2405" w:type="dxa"/>
            <w:vAlign w:val="center"/>
          </w:tcPr>
          <w:p w14:paraId="5D766920" w14:textId="77777777" w:rsidR="00AD633C" w:rsidRPr="007350EE" w:rsidRDefault="00AD633C" w:rsidP="008A5D63">
            <w:pPr>
              <w:rPr>
                <w:rFonts w:cstheme="minorHAnsi"/>
              </w:rPr>
            </w:pPr>
            <w:r w:rsidRPr="007350EE">
              <w:rPr>
                <w:rFonts w:cstheme="minorHAnsi"/>
              </w:rPr>
              <w:t>Öğretmen Yansıtmaları</w:t>
            </w:r>
          </w:p>
        </w:tc>
        <w:tc>
          <w:tcPr>
            <w:tcW w:w="7433" w:type="dxa"/>
            <w:vAlign w:val="center"/>
          </w:tcPr>
          <w:p w14:paraId="22ABE5E4" w14:textId="77777777" w:rsidR="00AD633C" w:rsidRPr="007350EE" w:rsidRDefault="00AD633C" w:rsidP="008A5D63">
            <w:pPr>
              <w:rPr>
                <w:rFonts w:cstheme="minorHAnsi"/>
              </w:rPr>
            </w:pPr>
          </w:p>
        </w:tc>
      </w:tr>
    </w:tbl>
    <w:p w14:paraId="10C9B3BF" w14:textId="77777777" w:rsidR="00AD633C" w:rsidRDefault="00AD633C" w:rsidP="00DB4E03">
      <w:pPr>
        <w:pStyle w:val="AralkYok"/>
      </w:pPr>
    </w:p>
    <w:p w14:paraId="3EF58F90" w14:textId="77777777" w:rsidR="00AD633C" w:rsidRDefault="00AD633C" w:rsidP="002E2181">
      <w:pPr>
        <w:pStyle w:val="AralkYok"/>
        <w:ind w:left="6372" w:firstLine="708"/>
      </w:pPr>
    </w:p>
    <w:p w14:paraId="7C1DF449" w14:textId="003BC72B" w:rsidR="00AD633C" w:rsidRDefault="00AD633C" w:rsidP="002E2181">
      <w:pPr>
        <w:pStyle w:val="AralkYok"/>
        <w:ind w:left="6372" w:firstLine="708"/>
      </w:pPr>
      <w:r>
        <w:t xml:space="preserve"> </w:t>
      </w:r>
    </w:p>
    <w:p w14:paraId="467481EE" w14:textId="76314AFF" w:rsidR="000B57D2" w:rsidRDefault="002E2181" w:rsidP="002E2181">
      <w:pPr>
        <w:pStyle w:val="AralkYok"/>
        <w:ind w:left="6372" w:firstLine="708"/>
      </w:pPr>
      <w:r>
        <w:t xml:space="preserve"> </w:t>
      </w:r>
      <w:r w:rsidR="00012D3B">
        <w:t xml:space="preserve"> </w:t>
      </w:r>
      <w:r w:rsidR="00AD633C">
        <w:t xml:space="preserve">      </w:t>
      </w:r>
      <w:r w:rsidR="00012D3B">
        <w:t xml:space="preserve"> </w:t>
      </w:r>
      <w:r w:rsidR="00866117">
        <w:t>13</w:t>
      </w:r>
      <w:r>
        <w:t>/0</w:t>
      </w:r>
      <w:r w:rsidR="00AD633C">
        <w:t>4</w:t>
      </w:r>
      <w:r>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08DFC0F" w14:textId="77777777" w:rsidR="00AD633C" w:rsidRDefault="00AD633C" w:rsidP="000B57D2">
      <w:pPr>
        <w:pStyle w:val="AralkYok"/>
        <w:rPr>
          <w:kern w:val="0"/>
          <w14:ligatures w14:val="none"/>
        </w:rPr>
      </w:pPr>
    </w:p>
    <w:p w14:paraId="12E80408" w14:textId="77777777" w:rsidR="00AD633C" w:rsidRDefault="00AD633C" w:rsidP="000B57D2">
      <w:pPr>
        <w:pStyle w:val="AralkYok"/>
        <w:rPr>
          <w:kern w:val="0"/>
          <w14:ligatures w14:val="none"/>
        </w:rPr>
      </w:pPr>
    </w:p>
    <w:p w14:paraId="2D6F2DDA" w14:textId="30BF2444" w:rsidR="00CA430F" w:rsidRPr="00176171" w:rsidRDefault="00CA430F" w:rsidP="00012D3B">
      <w:pPr>
        <w:pStyle w:val="AralkYok"/>
      </w:pPr>
    </w:p>
    <w:sectPr w:rsidR="00CA430F" w:rsidRPr="00176171" w:rsidSect="007F40D7">
      <w:headerReference w:type="default" r:id="rId1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0CBD7" w14:textId="77777777" w:rsidR="0093160C" w:rsidRDefault="0093160C" w:rsidP="00096A4E">
      <w:pPr>
        <w:spacing w:after="0" w:line="240" w:lineRule="auto"/>
      </w:pPr>
      <w:r>
        <w:separator/>
      </w:r>
    </w:p>
  </w:endnote>
  <w:endnote w:type="continuationSeparator" w:id="0">
    <w:p w14:paraId="4BB6ADCE" w14:textId="77777777" w:rsidR="0093160C" w:rsidRDefault="0093160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86EA" w14:textId="77777777" w:rsidR="0093160C" w:rsidRDefault="0093160C" w:rsidP="00096A4E">
      <w:pPr>
        <w:spacing w:after="0" w:line="240" w:lineRule="auto"/>
      </w:pPr>
      <w:r>
        <w:separator/>
      </w:r>
    </w:p>
  </w:footnote>
  <w:footnote w:type="continuationSeparator" w:id="0">
    <w:p w14:paraId="190142B3" w14:textId="77777777" w:rsidR="0093160C" w:rsidRDefault="0093160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0201AF8" w:rsidR="00096A4E" w:rsidRPr="007F40D7" w:rsidRDefault="00B378E7" w:rsidP="00985D39">
    <w:pPr>
      <w:pStyle w:val="stBilgi"/>
      <w:jc w:val="right"/>
      <w:rPr>
        <w:rFonts w:cstheme="minorHAnsi"/>
      </w:rPr>
    </w:pPr>
    <w:r>
      <w:rPr>
        <w:rFonts w:cstheme="minorHAnsi"/>
      </w:rPr>
      <w:t>2</w:t>
    </w:r>
    <w:r w:rsidR="00866117">
      <w:rPr>
        <w:rFonts w:cstheme="minorHAnsi"/>
      </w:rPr>
      <w:t>8</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8B2D85"/>
    <w:multiLevelType w:val="hybridMultilevel"/>
    <w:tmpl w:val="2D90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2B65D2"/>
    <w:multiLevelType w:val="hybridMultilevel"/>
    <w:tmpl w:val="E2241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E2280"/>
    <w:multiLevelType w:val="hybridMultilevel"/>
    <w:tmpl w:val="E3C6D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1"/>
  </w:num>
  <w:num w:numId="2" w16cid:durableId="1156990206">
    <w:abstractNumId w:val="22"/>
  </w:num>
  <w:num w:numId="3" w16cid:durableId="62262986">
    <w:abstractNumId w:val="18"/>
  </w:num>
  <w:num w:numId="4" w16cid:durableId="252471949">
    <w:abstractNumId w:val="15"/>
  </w:num>
  <w:num w:numId="5" w16cid:durableId="1655446877">
    <w:abstractNumId w:val="3"/>
  </w:num>
  <w:num w:numId="6" w16cid:durableId="384960526">
    <w:abstractNumId w:val="2"/>
  </w:num>
  <w:num w:numId="7" w16cid:durableId="370034960">
    <w:abstractNumId w:val="4"/>
  </w:num>
  <w:num w:numId="8" w16cid:durableId="1561481771">
    <w:abstractNumId w:val="20"/>
  </w:num>
  <w:num w:numId="9" w16cid:durableId="755588717">
    <w:abstractNumId w:val="7"/>
  </w:num>
  <w:num w:numId="10" w16cid:durableId="2127651275">
    <w:abstractNumId w:val="17"/>
  </w:num>
  <w:num w:numId="11" w16cid:durableId="127744839">
    <w:abstractNumId w:val="10"/>
  </w:num>
  <w:num w:numId="12" w16cid:durableId="256447737">
    <w:abstractNumId w:val="11"/>
  </w:num>
  <w:num w:numId="13" w16cid:durableId="1597901558">
    <w:abstractNumId w:val="1"/>
  </w:num>
  <w:num w:numId="14" w16cid:durableId="1832060713">
    <w:abstractNumId w:val="12"/>
  </w:num>
  <w:num w:numId="15" w16cid:durableId="675302317">
    <w:abstractNumId w:val="16"/>
  </w:num>
  <w:num w:numId="16" w16cid:durableId="755903465">
    <w:abstractNumId w:val="9"/>
  </w:num>
  <w:num w:numId="17" w16cid:durableId="2087145782">
    <w:abstractNumId w:val="0"/>
  </w:num>
  <w:num w:numId="18" w16cid:durableId="433595593">
    <w:abstractNumId w:val="6"/>
  </w:num>
  <w:num w:numId="19" w16cid:durableId="1739282934">
    <w:abstractNumId w:val="13"/>
  </w:num>
  <w:num w:numId="20" w16cid:durableId="1082601908">
    <w:abstractNumId w:val="19"/>
  </w:num>
  <w:num w:numId="21" w16cid:durableId="621689801">
    <w:abstractNumId w:val="8"/>
  </w:num>
  <w:num w:numId="22" w16cid:durableId="281041586">
    <w:abstractNumId w:val="5"/>
  </w:num>
  <w:num w:numId="23" w16cid:durableId="1233194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17C49"/>
    <w:rsid w:val="00096A4E"/>
    <w:rsid w:val="000A6F2D"/>
    <w:rsid w:val="000B3520"/>
    <w:rsid w:val="000B57D2"/>
    <w:rsid w:val="000E0E5F"/>
    <w:rsid w:val="00114DCB"/>
    <w:rsid w:val="00121AAA"/>
    <w:rsid w:val="00125E5C"/>
    <w:rsid w:val="00154287"/>
    <w:rsid w:val="00161D6A"/>
    <w:rsid w:val="00176171"/>
    <w:rsid w:val="00184949"/>
    <w:rsid w:val="001B7F05"/>
    <w:rsid w:val="00287AD9"/>
    <w:rsid w:val="002B53AD"/>
    <w:rsid w:val="002C5319"/>
    <w:rsid w:val="002E1B8D"/>
    <w:rsid w:val="002E2181"/>
    <w:rsid w:val="002E22D8"/>
    <w:rsid w:val="00340BC6"/>
    <w:rsid w:val="003528B6"/>
    <w:rsid w:val="00353491"/>
    <w:rsid w:val="00405DA0"/>
    <w:rsid w:val="00421C3A"/>
    <w:rsid w:val="0043162D"/>
    <w:rsid w:val="0047305E"/>
    <w:rsid w:val="004E14AB"/>
    <w:rsid w:val="00530E51"/>
    <w:rsid w:val="00553C03"/>
    <w:rsid w:val="00564600"/>
    <w:rsid w:val="00564DF2"/>
    <w:rsid w:val="00597C65"/>
    <w:rsid w:val="005A4ACF"/>
    <w:rsid w:val="005B4B0F"/>
    <w:rsid w:val="006237EA"/>
    <w:rsid w:val="00653C73"/>
    <w:rsid w:val="00697123"/>
    <w:rsid w:val="006A6A32"/>
    <w:rsid w:val="006A6BAC"/>
    <w:rsid w:val="00713296"/>
    <w:rsid w:val="007218EF"/>
    <w:rsid w:val="007350EE"/>
    <w:rsid w:val="0079774B"/>
    <w:rsid w:val="007A3D0A"/>
    <w:rsid w:val="007C1A39"/>
    <w:rsid w:val="007F40D7"/>
    <w:rsid w:val="00816C16"/>
    <w:rsid w:val="008423DC"/>
    <w:rsid w:val="00866117"/>
    <w:rsid w:val="00885CEF"/>
    <w:rsid w:val="008F7895"/>
    <w:rsid w:val="0093160C"/>
    <w:rsid w:val="009568B8"/>
    <w:rsid w:val="00960A42"/>
    <w:rsid w:val="00985D39"/>
    <w:rsid w:val="009B03BA"/>
    <w:rsid w:val="009B0E45"/>
    <w:rsid w:val="009B143A"/>
    <w:rsid w:val="009C1B10"/>
    <w:rsid w:val="00A36E5F"/>
    <w:rsid w:val="00A40300"/>
    <w:rsid w:val="00A9056D"/>
    <w:rsid w:val="00AD633C"/>
    <w:rsid w:val="00AE606F"/>
    <w:rsid w:val="00AE76BB"/>
    <w:rsid w:val="00B378E7"/>
    <w:rsid w:val="00B465A1"/>
    <w:rsid w:val="00B55839"/>
    <w:rsid w:val="00B74505"/>
    <w:rsid w:val="00B74645"/>
    <w:rsid w:val="00BC7EFC"/>
    <w:rsid w:val="00BF19D8"/>
    <w:rsid w:val="00C10CF5"/>
    <w:rsid w:val="00C17454"/>
    <w:rsid w:val="00C23B60"/>
    <w:rsid w:val="00C51E59"/>
    <w:rsid w:val="00C7452E"/>
    <w:rsid w:val="00C823A4"/>
    <w:rsid w:val="00CA300B"/>
    <w:rsid w:val="00CA430F"/>
    <w:rsid w:val="00CE331A"/>
    <w:rsid w:val="00CE6435"/>
    <w:rsid w:val="00CF1D17"/>
    <w:rsid w:val="00D93190"/>
    <w:rsid w:val="00DB4E03"/>
    <w:rsid w:val="00DE5BE4"/>
    <w:rsid w:val="00DE6522"/>
    <w:rsid w:val="00DE72E7"/>
    <w:rsid w:val="00E13A96"/>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265">
      <w:bodyDiv w:val="1"/>
      <w:marLeft w:val="0"/>
      <w:marRight w:val="0"/>
      <w:marTop w:val="0"/>
      <w:marBottom w:val="0"/>
      <w:divBdr>
        <w:top w:val="none" w:sz="0" w:space="0" w:color="auto"/>
        <w:left w:val="none" w:sz="0" w:space="0" w:color="auto"/>
        <w:bottom w:val="none" w:sz="0" w:space="0" w:color="auto"/>
        <w:right w:val="none" w:sz="0" w:space="0" w:color="auto"/>
      </w:divBdr>
    </w:div>
    <w:div w:id="491484340">
      <w:bodyDiv w:val="1"/>
      <w:marLeft w:val="0"/>
      <w:marRight w:val="0"/>
      <w:marTop w:val="0"/>
      <w:marBottom w:val="0"/>
      <w:divBdr>
        <w:top w:val="none" w:sz="0" w:space="0" w:color="auto"/>
        <w:left w:val="none" w:sz="0" w:space="0" w:color="auto"/>
        <w:bottom w:val="none" w:sz="0" w:space="0" w:color="auto"/>
        <w:right w:val="none" w:sz="0" w:space="0" w:color="auto"/>
      </w:divBdr>
    </w:div>
    <w:div w:id="494994959">
      <w:bodyDiv w:val="1"/>
      <w:marLeft w:val="0"/>
      <w:marRight w:val="0"/>
      <w:marTop w:val="0"/>
      <w:marBottom w:val="0"/>
      <w:divBdr>
        <w:top w:val="none" w:sz="0" w:space="0" w:color="auto"/>
        <w:left w:val="none" w:sz="0" w:space="0" w:color="auto"/>
        <w:bottom w:val="none" w:sz="0" w:space="0" w:color="auto"/>
        <w:right w:val="none" w:sz="0" w:space="0" w:color="auto"/>
      </w:divBdr>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035228449">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25?kod=SDB2.1" TargetMode="External"/><Relationship Id="rId13" Type="http://schemas.openxmlformats.org/officeDocument/2006/relationships/hyperlink" Target="https://tymm.meb.gov.tr/2/unite/125?kod=SDB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mm.meb.gov.tr/2/unite/125?kod=E3.8" TargetMode="External"/><Relationship Id="rId12" Type="http://schemas.openxmlformats.org/officeDocument/2006/relationships/hyperlink" Target="https://tymm.meb.gov.tr/2/unite/125?kod=OB3&amp;child=OB3.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ymm.meb.gov.tr/2/unite/125?kod=KB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2/unite/125?kod=SDB2.2" TargetMode="External"/><Relationship Id="rId5" Type="http://schemas.openxmlformats.org/officeDocument/2006/relationships/footnotes" Target="footnotes.xml"/><Relationship Id="rId15" Type="http://schemas.openxmlformats.org/officeDocument/2006/relationships/hyperlink" Target="https://tymm.meb.gov.tr/2/unite/125?kod=D17.2" TargetMode="External"/><Relationship Id="rId10" Type="http://schemas.openxmlformats.org/officeDocument/2006/relationships/hyperlink" Target="https://tymm.meb.gov.tr/2/unite/125?kod=D1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ymm.meb.gov.tr/2/unite/125?kod=D3.3" TargetMode="External"/><Relationship Id="rId14" Type="http://schemas.openxmlformats.org/officeDocument/2006/relationships/hyperlink" Target="https://tymm.meb.gov.tr/2/unite/125?kod=D17.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1034</Words>
  <Characters>5898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2026-04-12T06:23:00Z</dcterms:created>
  <dcterms:modified xsi:type="dcterms:W3CDTF">2026-04-12T06:23:00Z</dcterms:modified>
</cp:coreProperties>
</file>