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:rsidRPr="00AA05B3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AA05B3" w:rsidRDefault="00353491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5E2A35E4" w:rsidR="00096A4E" w:rsidRPr="00AA05B3" w:rsidRDefault="000B78DD" w:rsidP="0023545C">
            <w:pPr>
              <w:rPr>
                <w:rFonts w:cstheme="minorHAnsi"/>
              </w:rPr>
            </w:pPr>
            <w:r>
              <w:rPr>
                <w:rFonts w:cstheme="minorHAnsi"/>
              </w:rPr>
              <w:t>HAYAT VE SANAT</w:t>
            </w:r>
          </w:p>
        </w:tc>
      </w:tr>
      <w:tr w:rsidR="00096A4E" w:rsidRPr="00AA05B3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Süre</w:t>
            </w:r>
          </w:p>
        </w:tc>
        <w:tc>
          <w:tcPr>
            <w:tcW w:w="8000" w:type="dxa"/>
            <w:vAlign w:val="center"/>
          </w:tcPr>
          <w:p w14:paraId="584C1D1B" w14:textId="300D8B87" w:rsidR="00096A4E" w:rsidRPr="00AA05B3" w:rsidRDefault="00F353F7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1</w:t>
            </w:r>
            <w:r w:rsidR="00C823A4" w:rsidRPr="00AA05B3">
              <w:rPr>
                <w:rFonts w:cstheme="minorHAnsi"/>
              </w:rPr>
              <w:t xml:space="preserve"> Ders Saati</w:t>
            </w:r>
          </w:p>
        </w:tc>
      </w:tr>
      <w:tr w:rsidR="00571CFA" w:rsidRPr="00AA05B3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AA05B3" w:rsidRDefault="00571CFA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3548F9FD" w:rsidR="00571CFA" w:rsidRPr="000B78DD" w:rsidRDefault="000B78DD" w:rsidP="000B78DD">
            <w:r w:rsidRPr="000B78DD">
              <w:t>SAB1. Sanatsal Algılama, SAB4. Sanatsal Üretim Yapma</w:t>
            </w:r>
          </w:p>
        </w:tc>
      </w:tr>
      <w:tr w:rsidR="00096A4E" w:rsidRPr="00AA05B3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0B832A87" w14:textId="54129404" w:rsidR="00096A4E" w:rsidRPr="000B78DD" w:rsidRDefault="000B78DD" w:rsidP="000B78DD">
            <w:r w:rsidRPr="000B78DD">
              <w:t xml:space="preserve">E1.1. Merak, E2.4. Güven, E2.5. </w:t>
            </w:r>
            <w:proofErr w:type="spellStart"/>
            <w:r w:rsidRPr="000B78DD">
              <w:t>Oyunseverlik</w:t>
            </w:r>
            <w:proofErr w:type="spellEnd"/>
            <w:r w:rsidRPr="000B78DD">
              <w:t>, E3.7. Sistematiklik, E3.8. Soru Sorma</w:t>
            </w:r>
          </w:p>
        </w:tc>
      </w:tr>
      <w:tr w:rsidR="00096A4E" w:rsidRPr="00AA05B3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AA05B3" w:rsidRDefault="00096A4E" w:rsidP="0023545C">
            <w:pPr>
              <w:jc w:val="center"/>
              <w:rPr>
                <w:rFonts w:cstheme="minorHAnsi"/>
                <w:b/>
                <w:bCs/>
              </w:rPr>
            </w:pPr>
            <w:r w:rsidRPr="00AA05B3">
              <w:rPr>
                <w:rFonts w:cstheme="minorHAnsi"/>
                <w:b/>
                <w:bCs/>
              </w:rPr>
              <w:t>PROGRAMLAR ARASI BİLEŞENLER</w:t>
            </w:r>
          </w:p>
        </w:tc>
      </w:tr>
      <w:tr w:rsidR="00096A4E" w:rsidRPr="00AA05B3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0FC91901" w:rsidR="00096A4E" w:rsidRPr="000B78DD" w:rsidRDefault="000B78DD" w:rsidP="000B78DD">
            <w:r w:rsidRPr="000B78DD">
              <w:t>SDB1.1. Kendini Tanıma (Öz Farkındalık), SDB1.2. Kendini Düzenleme (Öz Düzenleme), SDB2.1. İletişim, SDB2.2. İş Birliği, SDB3.3. Sorumlu Karar Verme</w:t>
            </w:r>
          </w:p>
        </w:tc>
      </w:tr>
      <w:tr w:rsidR="00096A4E" w:rsidRPr="00AA05B3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Değerler</w:t>
            </w:r>
          </w:p>
        </w:tc>
        <w:tc>
          <w:tcPr>
            <w:tcW w:w="8000" w:type="dxa"/>
            <w:vAlign w:val="center"/>
          </w:tcPr>
          <w:p w14:paraId="3D8DF3A0" w14:textId="1B3C467A" w:rsidR="00096A4E" w:rsidRPr="000B78DD" w:rsidRDefault="000B78DD" w:rsidP="000B78DD">
            <w:r w:rsidRPr="000B78DD">
              <w:t>D4. Dostluk, D5. Duyarlılık, D7. Estetik, D9. Merhamet, D14. Saygı, D18. Temizlik</w:t>
            </w:r>
          </w:p>
        </w:tc>
      </w:tr>
      <w:tr w:rsidR="00096A4E" w:rsidRPr="00AA05B3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4B88FBA2" w:rsidR="00096A4E" w:rsidRPr="000B78DD" w:rsidRDefault="000B78DD" w:rsidP="000B78DD">
            <w:r w:rsidRPr="000B78DD">
              <w:t>OB2. Dijital Okuryazarlık, OB4. Görsel Okuryazarlık, OB9. Sanat Okuryazarlığı</w:t>
            </w:r>
          </w:p>
        </w:tc>
      </w:tr>
      <w:tr w:rsidR="00096A4E" w:rsidRPr="00AA05B3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784717D3" w:rsidR="00096A4E" w:rsidRPr="000B78DD" w:rsidRDefault="000B78DD" w:rsidP="000B78DD">
            <w:r w:rsidRPr="000B78DD">
              <w:t>Hayat Bilgisi, Matematik</w:t>
            </w:r>
          </w:p>
        </w:tc>
      </w:tr>
      <w:tr w:rsidR="00353491" w:rsidRPr="00AA05B3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AA05B3" w:rsidRDefault="00353491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757FD77C" w:rsidR="00353491" w:rsidRPr="000B78DD" w:rsidRDefault="000B78DD" w:rsidP="000B78DD">
            <w:r w:rsidRPr="000B78DD">
              <w:t>KB2.2. Gözlemleme, KB2.5. Sınıflandırma, KB2.7. Karşılaştırma, SAB1.2. Sanatsal Karşılaştırma</w:t>
            </w:r>
          </w:p>
        </w:tc>
      </w:tr>
      <w:tr w:rsidR="00096A4E" w:rsidRPr="00AA05B3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2E18EA1C" w:rsidR="00353491" w:rsidRPr="000B78DD" w:rsidRDefault="000B78DD" w:rsidP="000B78DD">
            <w:r w:rsidRPr="000B78DD">
              <w:t>GS.1.1.1. Çevresindeki nesnelerin renklerini ve geometrik şekillerini algılayabilme</w:t>
            </w:r>
            <w:r w:rsidRPr="000B78DD">
              <w:br/>
              <w:t>a) Nesnelerin renklerini ve geometrik şekillerini gözlemler.</w:t>
            </w:r>
            <w:r w:rsidRPr="000B78DD">
              <w:br/>
              <w:t>b) Renkler ve geometrik şekillerle benzerlik gösteren nesneleri karşılaştırır.</w:t>
            </w:r>
          </w:p>
        </w:tc>
      </w:tr>
      <w:tr w:rsidR="00096A4E" w:rsidRPr="00AA05B3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41E2E1D3" w:rsidR="00096A4E" w:rsidRPr="000B78DD" w:rsidRDefault="000B78DD" w:rsidP="000B78DD">
            <w:r w:rsidRPr="000B78DD">
              <w:t>Renkler ve Geometrik Şekiller</w:t>
            </w:r>
          </w:p>
        </w:tc>
      </w:tr>
      <w:tr w:rsidR="00096A4E" w:rsidRPr="00AA05B3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1D9529D7" w:rsidR="00096A4E" w:rsidRPr="000B78DD" w:rsidRDefault="000B78DD" w:rsidP="000B78DD">
            <w:proofErr w:type="gramStart"/>
            <w:r w:rsidRPr="000B78DD">
              <w:t>çevre</w:t>
            </w:r>
            <w:proofErr w:type="gramEnd"/>
            <w:r w:rsidRPr="000B78DD">
              <w:t xml:space="preserve"> bilinci, doğal malzeme, geometrik şekil, kolaj, renk, yapay malzeme</w:t>
            </w:r>
          </w:p>
        </w:tc>
      </w:tr>
      <w:tr w:rsidR="00096A4E" w:rsidRPr="00AA05B3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51DE7E54" w:rsidR="00353491" w:rsidRPr="000B78DD" w:rsidRDefault="000B78DD" w:rsidP="000B78DD">
            <w:r w:rsidRPr="000B78DD">
              <w:t>Öğrenme çıktıları gözlem formları, kontrol listeleri, öz değerlendirme formları ve akran değerlendirme formları kullanılarak değerlendirilebilir.</w:t>
            </w:r>
          </w:p>
        </w:tc>
      </w:tr>
      <w:tr w:rsidR="00096A4E" w:rsidRPr="00AA05B3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AA05B3" w:rsidRDefault="00096A4E" w:rsidP="0023545C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AA05B3">
              <w:rPr>
                <w:rFonts w:cstheme="minorHAnsi"/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:rsidRPr="00AA05B3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1254611D" w:rsidR="00096A4E" w:rsidRPr="000B78DD" w:rsidRDefault="000B78DD" w:rsidP="000B78DD">
            <w:r w:rsidRPr="000B78DD">
              <w:t>Öğrencilerin renkler hakkında temel bilgiye sahip olduğu</w:t>
            </w:r>
            <w:r w:rsidRPr="000B78DD">
              <w:t xml:space="preserve"> </w:t>
            </w:r>
            <w:r w:rsidR="00BB51D4" w:rsidRPr="000B78DD">
              <w:t>kabul edilmektedir.</w:t>
            </w:r>
          </w:p>
        </w:tc>
      </w:tr>
      <w:tr w:rsidR="00096A4E" w:rsidRPr="00AA05B3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51ADBE84" w:rsidR="00985D39" w:rsidRPr="000B78DD" w:rsidRDefault="000B78DD" w:rsidP="000B78DD">
            <w:r w:rsidRPr="000B78DD">
              <w:t>Renkler ve geometrik şekillere ilişkin ön bilgilerini değerlendirmek için öğrencilere aşağıdakilere benzer sorular sorulur:</w:t>
            </w:r>
            <w:r w:rsidRPr="000B78DD">
              <w:br/>
              <w:t>• Sınıfınızda kırmızı, turuncu ve mavi renkteki nesneleri gösterir misiniz?</w:t>
            </w:r>
            <w:r w:rsidRPr="000B78DD">
              <w:br/>
              <w:t>• Çevrenizde pencere, kapı ve saatin şekillerine benzeyen neler görüyorsunuz?</w:t>
            </w:r>
          </w:p>
        </w:tc>
      </w:tr>
      <w:tr w:rsidR="00096A4E" w:rsidRPr="00AA05B3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38FC9774" w:rsidR="00096A4E" w:rsidRPr="000B78DD" w:rsidRDefault="000B78DD" w:rsidP="000B78DD">
            <w:r w:rsidRPr="000B78DD">
              <w:t>Renk ve şekil algılarını geliştirmek için öğrencilere aşağıdakilere benzer sorular sorulur:</w:t>
            </w:r>
            <w:r w:rsidRPr="000B78DD">
              <w:br/>
              <w:t>• Yaşadığınız çevrede hangi renk ve şekillerde çiçekler, yapraklar, ağaçlar görüyorsunuz?</w:t>
            </w:r>
            <w:r w:rsidRPr="000B78DD">
              <w:br/>
              <w:t>• Çevrenizdeki her şey aynı renkte ve şekilde olsaydı nasıl olurdu?</w:t>
            </w:r>
          </w:p>
        </w:tc>
      </w:tr>
      <w:tr w:rsidR="00096A4E" w:rsidRPr="00AA05B3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C1488E" w14:textId="4B211619" w:rsidR="0023545C" w:rsidRPr="000B78DD" w:rsidRDefault="000B78DD" w:rsidP="000B78DD">
            <w:r w:rsidRPr="000B78DD">
              <w:t>Öğrencilerden çevresindeki nesnelerin renklerini ve geometrik şekillerini algılayabilmeleri beklenir. Nesnelerin renklerini ve geometrik şekillerini gözlemlemeleri için (a) okul içine veya bahçesine kısa bir gezi düzenlenir (</w:t>
            </w:r>
            <w:hyperlink r:id="rId7" w:history="1">
              <w:r w:rsidRPr="000B78DD">
                <w:rPr>
                  <w:rStyle w:val="Kpr"/>
                </w:rPr>
                <w:t>KB2.2</w:t>
              </w:r>
            </w:hyperlink>
            <w:r w:rsidRPr="000B78DD">
              <w:t>). "Bugün, yeşil olan üç şeyi bul!" gibi oyunlarla öğrencilerin keşfetme duyguları harekete geçirilir ve çevrelerindeki renkleri dikkatle incelemeleri sağlanır (</w:t>
            </w:r>
            <w:hyperlink r:id="rId8" w:history="1">
              <w:r w:rsidRPr="000B78DD">
                <w:rPr>
                  <w:rStyle w:val="Kpr"/>
                </w:rPr>
                <w:t>E1.1</w:t>
              </w:r>
            </w:hyperlink>
            <w:r w:rsidRPr="000B78DD">
              <w:t xml:space="preserve">, </w:t>
            </w:r>
            <w:hyperlink r:id="rId9" w:history="1">
              <w:r w:rsidRPr="000B78DD">
                <w:rPr>
                  <w:rStyle w:val="Kpr"/>
                </w:rPr>
                <w:t>E2.5</w:t>
              </w:r>
            </w:hyperlink>
            <w:r w:rsidRPr="000B78DD">
              <w:t>). Grupların görev paylaşımı yaparak iş birliği içinde kendilerine verilen renk kartlarındaki renklere yakın nesneleri bulup sınıfa getirmeleri beklenir (</w:t>
            </w:r>
            <w:hyperlink r:id="rId10" w:history="1">
              <w:r w:rsidRPr="000B78DD">
                <w:rPr>
                  <w:rStyle w:val="Kpr"/>
                </w:rPr>
                <w:t>D4.1</w:t>
              </w:r>
            </w:hyperlink>
            <w:r w:rsidRPr="000B78DD">
              <w:t xml:space="preserve">, </w:t>
            </w:r>
            <w:hyperlink r:id="rId11" w:history="1">
              <w:r w:rsidRPr="000B78DD">
                <w:rPr>
                  <w:rStyle w:val="Kpr"/>
                </w:rPr>
                <w:t>SDB2.2</w:t>
              </w:r>
            </w:hyperlink>
            <w:r w:rsidRPr="000B78DD">
              <w:t>). Öğrencilerin çevreye ve canlılara merhametle yaklaşmaları ve doğayı koruma bilinci geliştirmeleri sağlanır (</w:t>
            </w:r>
            <w:hyperlink r:id="rId12" w:history="1">
              <w:r w:rsidRPr="000B78DD">
                <w:rPr>
                  <w:rStyle w:val="Kpr"/>
                </w:rPr>
                <w:t>D9.3</w:t>
              </w:r>
            </w:hyperlink>
            <w:r w:rsidRPr="000B78DD">
              <w:t>). Bu amaçla yalnızca yere düşmüş yaprak, çiçek, ağaç dalı gibi malzemeleri toplamaları beklenir (</w:t>
            </w:r>
            <w:hyperlink r:id="rId13" w:history="1">
              <w:r w:rsidRPr="000B78DD">
                <w:rPr>
                  <w:rStyle w:val="Kpr"/>
                </w:rPr>
                <w:t>D5.2</w:t>
              </w:r>
            </w:hyperlink>
            <w:r w:rsidRPr="000B78DD">
              <w:t>). Toplanan malzemelerin kolaj çalışmaları için saklanması gerektiği belirtilir. Öğrencilerin gözlemleri sırasında merak ettiklerini sormaları, karşısındakileri sözlerini kesmeden dinlemeleri ve düşüncelerini sırası geldiğinde paylaşmaları beklenir (</w:t>
            </w:r>
            <w:hyperlink r:id="rId14" w:history="1">
              <w:r w:rsidRPr="000B78DD">
                <w:rPr>
                  <w:rStyle w:val="Kpr"/>
                </w:rPr>
                <w:t>E3.8</w:t>
              </w:r>
            </w:hyperlink>
            <w:r w:rsidRPr="000B78DD">
              <w:t xml:space="preserve">, </w:t>
            </w:r>
            <w:hyperlink r:id="rId15" w:history="1">
              <w:r w:rsidRPr="000B78DD">
                <w:rPr>
                  <w:rStyle w:val="Kpr"/>
                </w:rPr>
                <w:t>SDB2.1</w:t>
              </w:r>
            </w:hyperlink>
            <w:r w:rsidRPr="000B78DD">
              <w:t xml:space="preserve">, </w:t>
            </w:r>
            <w:hyperlink r:id="rId16" w:history="1">
              <w:r w:rsidRPr="000B78DD">
                <w:rPr>
                  <w:rStyle w:val="Kpr"/>
                </w:rPr>
                <w:t>D14.1</w:t>
              </w:r>
            </w:hyperlink>
            <w:r w:rsidRPr="000B78DD">
              <w:t>). Şekil gözlemleri aşamasında kare, üçgen, dikdörtgen, çember gibi temel geometrik şekillerin kartları tanıtılır. Öğrencilerden kartların biçim özelliklerini tanımlamaları ve topladıkları nesnelerle ilişkilendirmeleri beklenir (</w:t>
            </w:r>
            <w:hyperlink r:id="rId17" w:history="1">
              <w:r w:rsidRPr="000B78DD">
                <w:rPr>
                  <w:rStyle w:val="Kpr"/>
                </w:rPr>
                <w:t>OB4</w:t>
              </w:r>
            </w:hyperlink>
            <w:r w:rsidRPr="000B78DD">
              <w:t>). Renkler ve geometrik şekillerle benzerlik gösteren nesneleri karşılaştırmaları (b) istenir (</w:t>
            </w:r>
            <w:hyperlink r:id="rId18" w:history="1">
              <w:r w:rsidRPr="000B78DD">
                <w:rPr>
                  <w:rStyle w:val="Kpr"/>
                </w:rPr>
                <w:t>SAB1.2</w:t>
              </w:r>
            </w:hyperlink>
            <w:r w:rsidRPr="000B78DD">
              <w:t xml:space="preserve">, </w:t>
            </w:r>
            <w:hyperlink r:id="rId19" w:history="1">
              <w:r w:rsidRPr="000B78DD">
                <w:rPr>
                  <w:rStyle w:val="Kpr"/>
                </w:rPr>
                <w:t>KB2.7</w:t>
              </w:r>
            </w:hyperlink>
            <w:r w:rsidRPr="000B78DD">
              <w:t>). Gruplar hâlinde topladıkları nesneleri, renk ve şekil kartlarıyla veya renk çemberindeki uygun renklerle eşleştirmeleri sağlanır (</w:t>
            </w:r>
            <w:hyperlink r:id="rId20" w:history="1">
              <w:r w:rsidRPr="000B78DD">
                <w:rPr>
                  <w:rStyle w:val="Kpr"/>
                </w:rPr>
                <w:t>KB2.5</w:t>
              </w:r>
            </w:hyperlink>
            <w:r w:rsidRPr="000B78DD">
              <w:t xml:space="preserve">, </w:t>
            </w:r>
            <w:hyperlink r:id="rId21" w:history="1">
              <w:r w:rsidRPr="000B78DD">
                <w:rPr>
                  <w:rStyle w:val="Kpr"/>
                </w:rPr>
                <w:t>SDB2.2</w:t>
              </w:r>
            </w:hyperlink>
            <w:r w:rsidRPr="000B78DD">
              <w:t>). </w:t>
            </w:r>
          </w:p>
        </w:tc>
      </w:tr>
      <w:tr w:rsidR="00096A4E" w:rsidRPr="00AA05B3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AA05B3" w:rsidRDefault="00096A4E" w:rsidP="0023545C">
            <w:pPr>
              <w:jc w:val="center"/>
              <w:rPr>
                <w:rFonts w:cstheme="minorHAnsi"/>
                <w:b/>
                <w:bCs/>
              </w:rPr>
            </w:pPr>
            <w:r w:rsidRPr="00AA05B3">
              <w:rPr>
                <w:rFonts w:cstheme="minorHAnsi"/>
                <w:b/>
                <w:bCs/>
              </w:rPr>
              <w:t>FARKLILAŞTIRMA</w:t>
            </w:r>
          </w:p>
        </w:tc>
      </w:tr>
      <w:tr w:rsidR="00096A4E" w:rsidRPr="00AA05B3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lastRenderedPageBreak/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5BB0E91" w:rsidR="00096A4E" w:rsidRPr="000B78DD" w:rsidRDefault="000B78DD" w:rsidP="000B78DD">
            <w:r w:rsidRPr="000B78DD">
              <w:t>Öğrencilerden renkler ve geometrik şekillerle ilgili yapbozlar hazırlamaları</w:t>
            </w:r>
            <w:r w:rsidRPr="000B78DD">
              <w:t xml:space="preserve"> </w:t>
            </w:r>
            <w:r w:rsidR="00BD5AA2" w:rsidRPr="000B78DD">
              <w:t>istenebilir.</w:t>
            </w:r>
          </w:p>
        </w:tc>
      </w:tr>
      <w:tr w:rsidR="00096A4E" w:rsidRPr="00AA05B3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74ADCB2C" w14:textId="50B5F0B1" w:rsidR="00096A4E" w:rsidRPr="000B78DD" w:rsidRDefault="000B78DD" w:rsidP="000B78DD">
            <w:r w:rsidRPr="000B78DD">
              <w:t>Öğrencilere farklı renklerde ve geometrik şekillerde önceden kesilmiş malzemeler sunularak öğrencilerden bunları yüzeye yerleştirmeleri ve yapıştırmaları istenebilir.</w:t>
            </w:r>
          </w:p>
        </w:tc>
      </w:tr>
      <w:tr w:rsidR="00096A4E" w:rsidRPr="00AA05B3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AA05B3" w:rsidRDefault="00096A4E" w:rsidP="0023545C">
            <w:pPr>
              <w:rPr>
                <w:rFonts w:cstheme="minorHAnsi"/>
              </w:rPr>
            </w:pPr>
            <w:r w:rsidRPr="00AA05B3">
              <w:rPr>
                <w:rFonts w:cstheme="minorHAnsi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AA05B3" w:rsidRDefault="00096A4E" w:rsidP="0023545C">
            <w:pPr>
              <w:rPr>
                <w:rFonts w:cstheme="minorHAnsi"/>
              </w:rPr>
            </w:pPr>
          </w:p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3687F403" w14:textId="77777777" w:rsidR="00CD48E1" w:rsidRDefault="00CD48E1" w:rsidP="008A677E">
      <w:pPr>
        <w:pStyle w:val="AralkYok"/>
        <w:ind w:left="7788" w:firstLine="708"/>
      </w:pPr>
    </w:p>
    <w:p w14:paraId="238333E5" w14:textId="77777777" w:rsidR="00CD48E1" w:rsidRDefault="00CD48E1" w:rsidP="008A677E">
      <w:pPr>
        <w:pStyle w:val="AralkYok"/>
        <w:ind w:left="7788" w:firstLine="708"/>
      </w:pPr>
    </w:p>
    <w:p w14:paraId="43FB1415" w14:textId="77777777" w:rsidR="00CD48E1" w:rsidRDefault="00CD48E1" w:rsidP="008A677E">
      <w:pPr>
        <w:pStyle w:val="AralkYok"/>
        <w:ind w:left="7788" w:firstLine="708"/>
      </w:pPr>
    </w:p>
    <w:p w14:paraId="7A7E1AF3" w14:textId="77777777" w:rsidR="00CD48E1" w:rsidRDefault="00CD48E1" w:rsidP="008A677E">
      <w:pPr>
        <w:pStyle w:val="AralkYok"/>
        <w:ind w:left="7788" w:firstLine="708"/>
      </w:pPr>
    </w:p>
    <w:p w14:paraId="7F78DB9D" w14:textId="77777777" w:rsidR="00CD48E1" w:rsidRDefault="00CD48E1" w:rsidP="008A677E">
      <w:pPr>
        <w:pStyle w:val="AralkYok"/>
        <w:ind w:left="7788" w:firstLine="708"/>
      </w:pPr>
    </w:p>
    <w:p w14:paraId="2698960F" w14:textId="3E6BAFF9" w:rsidR="008A677E" w:rsidRDefault="008A677E" w:rsidP="008A677E">
      <w:pPr>
        <w:pStyle w:val="AralkYok"/>
        <w:ind w:left="7788" w:firstLine="708"/>
      </w:pPr>
      <w:r>
        <w:t xml:space="preserve">  </w:t>
      </w:r>
      <w:r w:rsidR="000B78DD">
        <w:t>14</w:t>
      </w:r>
      <w:r w:rsidR="00CD48E1">
        <w:t>/</w:t>
      </w:r>
      <w:r w:rsidR="000B78DD">
        <w:t>09</w:t>
      </w:r>
      <w:r>
        <w:t>/202</w:t>
      </w:r>
      <w:r w:rsidR="000B78DD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41362AAA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4FC7DB55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24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969E56" w14:textId="77777777" w:rsidR="008D42DD" w:rsidRDefault="008D42DD" w:rsidP="00096A4E">
      <w:pPr>
        <w:spacing w:after="0" w:line="240" w:lineRule="auto"/>
      </w:pPr>
      <w:r>
        <w:separator/>
      </w:r>
    </w:p>
  </w:endnote>
  <w:endnote w:type="continuationSeparator" w:id="0">
    <w:p w14:paraId="69B7F0D0" w14:textId="77777777" w:rsidR="008D42DD" w:rsidRDefault="008D42D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B9984" w14:textId="77777777" w:rsidR="008D42DD" w:rsidRDefault="008D42DD" w:rsidP="00096A4E">
      <w:pPr>
        <w:spacing w:after="0" w:line="240" w:lineRule="auto"/>
      </w:pPr>
      <w:r>
        <w:separator/>
      </w:r>
    </w:p>
  </w:footnote>
  <w:footnote w:type="continuationSeparator" w:id="0">
    <w:p w14:paraId="0F30B736" w14:textId="77777777" w:rsidR="008D42DD" w:rsidRDefault="008D42D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AABE6F4" w:rsidR="00096A4E" w:rsidRPr="00096A4E" w:rsidRDefault="00AA05B3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1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586BBD32" w:rsidR="00096A4E" w:rsidRDefault="0019183D" w:rsidP="0023545C">
    <w:pPr>
      <w:pStyle w:val="stBilgi"/>
      <w:jc w:val="center"/>
    </w:pPr>
    <w:r>
      <w:t>1/…</w:t>
    </w:r>
    <w:r w:rsidR="0023545C">
      <w:t xml:space="preserve"> SINIFI </w:t>
    </w:r>
    <w:r w:rsidR="00BB51D4">
      <w:t>GÖRSEL SANATLAR</w:t>
    </w:r>
    <w:r w:rsidR="0023545C">
      <w:t xml:space="preserve">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B78DD"/>
    <w:rsid w:val="000D19D6"/>
    <w:rsid w:val="0019183D"/>
    <w:rsid w:val="0023545C"/>
    <w:rsid w:val="002D1FE9"/>
    <w:rsid w:val="002E4371"/>
    <w:rsid w:val="00353491"/>
    <w:rsid w:val="003D1B32"/>
    <w:rsid w:val="003D79A1"/>
    <w:rsid w:val="00421C3A"/>
    <w:rsid w:val="0047305E"/>
    <w:rsid w:val="004E14AB"/>
    <w:rsid w:val="004F1549"/>
    <w:rsid w:val="00571CFA"/>
    <w:rsid w:val="00597C65"/>
    <w:rsid w:val="006B3169"/>
    <w:rsid w:val="006C4518"/>
    <w:rsid w:val="006E70D4"/>
    <w:rsid w:val="007B5E23"/>
    <w:rsid w:val="007B6F3D"/>
    <w:rsid w:val="0086006C"/>
    <w:rsid w:val="008A677E"/>
    <w:rsid w:val="008D42DD"/>
    <w:rsid w:val="008F7895"/>
    <w:rsid w:val="00985D39"/>
    <w:rsid w:val="009E39CB"/>
    <w:rsid w:val="009F560C"/>
    <w:rsid w:val="00A4783D"/>
    <w:rsid w:val="00A9056D"/>
    <w:rsid w:val="00A94212"/>
    <w:rsid w:val="00AA05B3"/>
    <w:rsid w:val="00AE40FB"/>
    <w:rsid w:val="00B64C22"/>
    <w:rsid w:val="00B73CFC"/>
    <w:rsid w:val="00B7424E"/>
    <w:rsid w:val="00BB51D4"/>
    <w:rsid w:val="00BC7EFC"/>
    <w:rsid w:val="00BD5AA2"/>
    <w:rsid w:val="00C01B1D"/>
    <w:rsid w:val="00C823A4"/>
    <w:rsid w:val="00CD48E1"/>
    <w:rsid w:val="00E45BE1"/>
    <w:rsid w:val="00EA3B15"/>
    <w:rsid w:val="00F261F7"/>
    <w:rsid w:val="00F353F7"/>
    <w:rsid w:val="00F51625"/>
    <w:rsid w:val="00F52D25"/>
    <w:rsid w:val="00F7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BB51D4"/>
    <w:rPr>
      <w:b/>
      <w:bCs/>
    </w:rPr>
  </w:style>
  <w:style w:type="character" w:styleId="Kpr">
    <w:name w:val="Hyperlink"/>
    <w:basedOn w:val="VarsaylanParagrafYazTipi"/>
    <w:uiPriority w:val="99"/>
    <w:unhideWhenUsed/>
    <w:rsid w:val="000B7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mm.meb.gov.tr/gorsel-sanatlar-dersi-temel-egitim/unite/822?kod=E1.1" TargetMode="External"/><Relationship Id="rId13" Type="http://schemas.openxmlformats.org/officeDocument/2006/relationships/hyperlink" Target="https://tymm.meb.gov.tr/gorsel-sanatlar-dersi-temel-egitim/unite/822?kod=D5.2" TargetMode="External"/><Relationship Id="rId18" Type="http://schemas.openxmlformats.org/officeDocument/2006/relationships/hyperlink" Target="https://tymm.meb.gov.tr/gorsel-sanatlar-dersi-temel-egitim/unite/822?kod=SAB1.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tymm.meb.gov.tr/gorsel-sanatlar-dersi-temel-egitim/unite/822?kod=SDB2.2" TargetMode="External"/><Relationship Id="rId7" Type="http://schemas.openxmlformats.org/officeDocument/2006/relationships/hyperlink" Target="https://tymm.meb.gov.tr/gorsel-sanatlar-dersi-temel-egitim/unite/822?kod=KB2.2" TargetMode="External"/><Relationship Id="rId12" Type="http://schemas.openxmlformats.org/officeDocument/2006/relationships/hyperlink" Target="https://tymm.meb.gov.tr/gorsel-sanatlar-dersi-temel-egitim/unite/822?kod=D9.3" TargetMode="External"/><Relationship Id="rId17" Type="http://schemas.openxmlformats.org/officeDocument/2006/relationships/hyperlink" Target="https://tymm.meb.gov.tr/gorsel-sanatlar-dersi-temel-egitim/unite/822?kod=OB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ymm.meb.gov.tr/gorsel-sanatlar-dersi-temel-egitim/unite/822?kod=D14.1" TargetMode="External"/><Relationship Id="rId20" Type="http://schemas.openxmlformats.org/officeDocument/2006/relationships/hyperlink" Target="https://tymm.meb.gov.tr/gorsel-sanatlar-dersi-temel-egitim/unite/822?kod=KB2.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mm.meb.gov.tr/gorsel-sanatlar-dersi-temel-egitim/unite/822?kod=SDB2.2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tymm.meb.gov.tr/gorsel-sanatlar-dersi-temel-egitim/unite/822?kod=SDB2.1" TargetMode="External"/><Relationship Id="rId23" Type="http://schemas.openxmlformats.org/officeDocument/2006/relationships/image" Target="media/image2.png"/><Relationship Id="rId10" Type="http://schemas.openxmlformats.org/officeDocument/2006/relationships/hyperlink" Target="https://tymm.meb.gov.tr/gorsel-sanatlar-dersi-temel-egitim/unite/822?kod=D4.1" TargetMode="External"/><Relationship Id="rId19" Type="http://schemas.openxmlformats.org/officeDocument/2006/relationships/hyperlink" Target="https://tymm.meb.gov.tr/gorsel-sanatlar-dersi-temel-egitim/unite/822?kod=KB2.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ymm.meb.gov.tr/gorsel-sanatlar-dersi-temel-egitim/unite/822?kod=E2.5" TargetMode="External"/><Relationship Id="rId14" Type="http://schemas.openxmlformats.org/officeDocument/2006/relationships/hyperlink" Target="https://tymm.meb.gov.tr/gorsel-sanatlar-dersi-temel-egitim/unite/822?kod=E3.8" TargetMode="External"/><Relationship Id="rId22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2026-09-13T19:50:00Z</dcterms:created>
  <dcterms:modified xsi:type="dcterms:W3CDTF">2026-09-13T19:50:00Z</dcterms:modified>
</cp:coreProperties>
</file>